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LUSTER ALEXANDRA M</w:t>
              </w:r>
            </w:hyperlink>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LINCOLN EDUCATIONAL SERVICES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tcBorders>
              <w:bottom w:val="single" w:sz="8" w:color="0000EE"/>
            </w:tcBorders>
            <w:gridSpan w:val="4"/>
            <w:vMerge w:val="continue"/>
          </w:tcPr>
          <w:p>
            <w:pPr>
              <w:spacing w:after="0"/>
              <w:rPr>
                <w:sz w:val="5"/>
                <w:szCs w:val="5"/>
                <w:color w:val="auto"/>
              </w:rPr>
            </w:pPr>
          </w:p>
        </w:tc>
        <w:tc>
          <w:tcPr>
            <w:tcW w:w="12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4"/>
          </w:tcPr>
          <w:p>
            <w:pPr>
              <w:spacing w:after="0"/>
              <w:rPr>
                <w:sz w:val="4"/>
                <w:szCs w:val="4"/>
                <w:color w:val="auto"/>
              </w:rPr>
            </w:pPr>
          </w:p>
        </w:tc>
        <w:tc>
          <w:tcPr>
            <w:tcW w:w="12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4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SVP and General Counsel</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LINCOLN EDUCATIONAL SERVICES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 SYLVAN WAY, STE A</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8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jc w:val="right"/>
              <w:ind w:right="107"/>
              <w:spacing w:after="0"/>
              <w:rPr>
                <w:sz w:val="20"/>
                <w:szCs w:val="20"/>
                <w:color w:val="auto"/>
              </w:rPr>
            </w:pPr>
            <w:r>
              <w:rPr>
                <w:rFonts w:ascii="Times New Roman" w:cs="Times New Roman" w:eastAsia="Times New Roman" w:hAnsi="Times New Roman"/>
                <w:sz w:val="17"/>
                <w:szCs w:val="17"/>
                <w:color w:val="0000FF"/>
              </w:rPr>
              <w:t>06/05/2026</w:t>
            </w: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1,993</w:t>
            </w:r>
          </w:p>
        </w:tc>
        <w:tc>
          <w:tcPr>
            <w:tcW w:w="440" w:type="dxa"/>
            <w:vAlign w:val="bottom"/>
            <w:tcBorders>
              <w:bottom w:val="single" w:sz="8" w:color="2C2C2C"/>
            </w:tcBorders>
          </w:tcPr>
          <w:p>
            <w:pPr>
              <w:ind w:left="140"/>
              <w:spacing w:after="0" w:line="320" w:lineRule="exact"/>
              <w:rPr>
                <w:sz w:val="20"/>
                <w:szCs w:val="20"/>
                <w:color w:val="auto"/>
              </w:rPr>
            </w:pPr>
            <w:r>
              <w:rPr>
                <w:rFonts w:ascii="Times New Roman" w:cs="Times New Roman" w:eastAsia="Times New Roman" w:hAnsi="Times New Roman"/>
                <w:sz w:val="34"/>
                <w:szCs w:val="34"/>
                <w:color w:val="0000FF"/>
                <w:w w:val="95"/>
                <w:vertAlign w:val="subscript"/>
              </w:rPr>
              <w:t>D</w:t>
            </w:r>
            <w:r>
              <w:rPr>
                <w:rFonts w:ascii="Times New Roman" w:cs="Times New Roman" w:eastAsia="Times New Roman" w:hAnsi="Times New Roman"/>
                <w:sz w:val="11"/>
                <w:szCs w:val="11"/>
                <w:color w:val="008000"/>
                <w:w w:val="95"/>
              </w:rPr>
              <w:t>(1)</w:t>
            </w:r>
          </w:p>
        </w:tc>
        <w:tc>
          <w:tcPr>
            <w:tcW w:w="820" w:type="dxa"/>
            <w:vAlign w:val="bottom"/>
            <w:tcBorders>
              <w:bottom w:val="single" w:sz="8" w:color="2C2C2C"/>
            </w:tcBorders>
            <w:gridSpan w:val="5"/>
          </w:tcPr>
          <w:p>
            <w:pPr>
              <w:ind w:left="16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50.11</w:t>
            </w:r>
            <w:r>
              <w:rPr>
                <w:rFonts w:ascii="Times New Roman" w:cs="Times New Roman" w:eastAsia="Times New Roman" w:hAnsi="Times New Roman"/>
                <w:sz w:val="22"/>
                <w:szCs w:val="22"/>
                <w:color w:val="008000"/>
                <w:w w:val="98"/>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100,363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5"/>
          </w:tcPr>
          <w:p>
            <w:pPr>
              <w:jc w:val="center"/>
              <w:ind w:left="53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sale of shares was completed in connection with his financial planning needs.</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 shares were sold on June 5, 2026 in multiple transactions on the open market at prices ranging from $50.00 to $50.68. The reporting person hereby undertakes to provide to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Alexandra M Luster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06/09/2026</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1004" TargetMode="External"/><Relationship Id="rId14"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2026-06-09T17:56:34Z</dcterms:created>
  <dcterms:modified xsi:type="dcterms:W3CDTF">2026-06-09T17:56:34Z</dcterms:modified>
</cp:coreProperties>
</file>