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6406" w:type="dxa"/>
        <w:jc w:val="left"/>
        <w:tblInd w:w="0" w:type="dxa"/>
        <w:tblLayout w:type="fixed"/>
        <w:tblCellMar>
          <w:top w:w="28" w:type="dxa"/>
          <w:left w:w="28" w:type="dxa"/>
          <w:bottom w:w="28" w:type="dxa"/>
          <w:right w:w="28" w:type="dxa"/>
        </w:tblCellMar>
      </w:tblPr>
      <w:tblGrid>
        <w:gridCol w:w="6406"/>
      </w:tblGrid>
      <w:tr>
        <w:trPr/>
        <w:tc>
          <w:tcPr>
            <w:tcW w:w="640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640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6406" w:type="dxa"/>
            <w:tcBorders/>
            <w:vAlign w:val="center"/>
          </w:tcPr>
          <w:p>
            <w:pPr>
              <w:pStyle w:val="TableContents"/>
              <w:bidi w:val="0"/>
              <w:spacing w:before="0" w:after="0"/>
              <w:jc w:val="left"/>
              <w:rPr/>
            </w:pPr>
            <w:r>
              <w:rPr/>
              <w:t xml:space="preserve">UNDER THE SECURITIES EXCHANGE ACT OF 1934 </w:t>
            </w:r>
          </w:p>
        </w:tc>
      </w:tr>
      <w:tr>
        <w:trPr/>
        <w:tc>
          <w:tcPr>
            <w:tcW w:w="640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6406" w:type="dxa"/>
            <w:tcBorders/>
            <w:vAlign w:val="center"/>
          </w:tcPr>
          <w:p>
            <w:pPr>
              <w:pStyle w:val="TableContents"/>
              <w:bidi w:val="0"/>
              <w:spacing w:before="0" w:after="0"/>
              <w:jc w:val="center"/>
              <w:rPr>
                <w:b/>
                <w:color w:val="0000FF"/>
              </w:rPr>
            </w:pPr>
            <w:r>
              <w:rPr>
                <w:b/>
                <w:color w:val="0000FF"/>
              </w:rPr>
              <w:t>LINCOLN EDUCATIONAL SERVICES CORPORATION</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6406" w:type="dxa"/>
            <w:tcBorders/>
            <w:vAlign w:val="center"/>
          </w:tcPr>
          <w:p>
            <w:pPr>
              <w:pStyle w:val="TableContents"/>
              <w:bidi w:val="0"/>
              <w:spacing w:before="0" w:after="0"/>
              <w:jc w:val="center"/>
              <w:rPr>
                <w:b/>
                <w:color w:val="0000FF"/>
              </w:rPr>
            </w:pPr>
            <w:r>
              <w:rPr>
                <w:b/>
                <w:color w:val="0000FF"/>
              </w:rPr>
              <w:t>Common Stock No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640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640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Alyeska Investment Group, 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777,833.00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777,833.00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777,833.00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2.44 %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Alyeska Fund GP,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777,833.00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777,833.00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777,833.00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2.44 %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Anand Parekh</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777,833.00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777,833.00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777,833.00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2.44 %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980"/>
        <w:gridCol w:w="9070"/>
        <w:gridCol w:w="155"/>
      </w:tblGrid>
      <w:tr>
        <w:trPr/>
        <w:tc>
          <w:tcPr>
            <w:tcW w:w="980" w:type="dxa"/>
            <w:tcBorders/>
            <w:vAlign w:val="center"/>
          </w:tcPr>
          <w:p>
            <w:pPr>
              <w:pStyle w:val="TableContents"/>
              <w:bidi w:val="0"/>
              <w:spacing w:before="0" w:after="283"/>
              <w:jc w:val="left"/>
              <w:rPr/>
            </w:pPr>
            <w:r>
              <w:rPr/>
              <w:t>Item 1.</w:t>
            </w:r>
          </w:p>
        </w:tc>
        <w:tc>
          <w:tcPr>
            <w:tcW w:w="907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283"/>
              <w:jc w:val="left"/>
              <w:rPr/>
            </w:pPr>
            <w:r>
              <w:rPr/>
              <w:t>(a)</w:t>
            </w:r>
          </w:p>
        </w:tc>
        <w:tc>
          <w:tcPr>
            <w:tcW w:w="9070" w:type="dxa"/>
            <w:tcBorders/>
            <w:vAlign w:val="center"/>
          </w:tcPr>
          <w:p>
            <w:pPr>
              <w:pStyle w:val="TableContents"/>
              <w:bidi w:val="0"/>
              <w:jc w:val="left"/>
              <w:rPr/>
            </w:pPr>
            <w:r>
              <w:rPr/>
              <w:t xml:space="preserve">Name of issuer: </w:t>
            </w:r>
          </w:p>
          <w:p>
            <w:pPr>
              <w:pStyle w:val="TableContents"/>
              <w:bidi w:val="0"/>
              <w:spacing w:before="0" w:after="0"/>
              <w:jc w:val="left"/>
              <w:rPr/>
            </w:pPr>
            <w:r>
              <w:rPr/>
              <w:t>LINCOLN EDUCATIONAL SERVICES CORPORATION</w:t>
            </w:r>
          </w:p>
        </w:tc>
        <w:tc>
          <w:tcPr>
            <w:tcW w:w="155" w:type="dxa"/>
            <w:tcBorders/>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283"/>
              <w:jc w:val="left"/>
              <w:rPr/>
            </w:pPr>
            <w:r>
              <w:rPr/>
              <w:t>(b)</w:t>
            </w:r>
          </w:p>
        </w:tc>
        <w:tc>
          <w:tcPr>
            <w:tcW w:w="907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14 Sylvan Way, Suite A, Parsippany, NJ 07054</w:t>
            </w:r>
          </w:p>
        </w:tc>
        <w:tc>
          <w:tcPr>
            <w:tcW w:w="155" w:type="dxa"/>
            <w:tcBorders/>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283"/>
              <w:jc w:val="left"/>
              <w:rPr/>
            </w:pPr>
            <w:r>
              <w:rPr/>
              <w:t>Item 2.</w:t>
            </w:r>
          </w:p>
        </w:tc>
        <w:tc>
          <w:tcPr>
            <w:tcW w:w="907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283"/>
              <w:jc w:val="left"/>
              <w:rPr/>
            </w:pPr>
            <w:r>
              <w:rPr/>
              <w:t>(a)</w:t>
            </w:r>
          </w:p>
        </w:tc>
        <w:tc>
          <w:tcPr>
            <w:tcW w:w="9070" w:type="dxa"/>
            <w:tcBorders/>
            <w:vAlign w:val="center"/>
          </w:tcPr>
          <w:p>
            <w:pPr>
              <w:pStyle w:val="TableContents"/>
              <w:bidi w:val="0"/>
              <w:jc w:val="left"/>
              <w:rPr/>
            </w:pPr>
            <w:r>
              <w:rPr/>
              <w:t xml:space="preserve">Name of person filing: </w:t>
            </w:r>
          </w:p>
          <w:p>
            <w:pPr>
              <w:pStyle w:val="TableContents"/>
              <w:bidi w:val="0"/>
              <w:spacing w:before="0" w:after="0"/>
              <w:jc w:val="left"/>
              <w:rPr/>
            </w:pPr>
            <w:r>
              <w:rPr/>
              <w:t>(i) Alyeska Investment Group, L.P. (ii) Alyeska Fund GP, LLC (iii) Anand Parekh</w:t>
            </w:r>
          </w:p>
        </w:tc>
        <w:tc>
          <w:tcPr>
            <w:tcW w:w="155" w:type="dxa"/>
            <w:tcBorders/>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283"/>
              <w:jc w:val="left"/>
              <w:rPr/>
            </w:pPr>
            <w:r>
              <w:rPr/>
              <w:t>(b)</w:t>
            </w:r>
          </w:p>
        </w:tc>
        <w:tc>
          <w:tcPr>
            <w:tcW w:w="907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(i) 77 West Wacker Drive, 7th Floor, Chicago, IL 60601 (ii) 77 West Wacker Drive, 7th Floor, Chicago, IL 60601 (iii) 77 West Wacker Drive, 7th Floor, Chicago, IL 60601</w:t>
            </w:r>
          </w:p>
        </w:tc>
        <w:tc>
          <w:tcPr>
            <w:tcW w:w="155" w:type="dxa"/>
            <w:tcBorders/>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283"/>
              <w:jc w:val="left"/>
              <w:rPr/>
            </w:pPr>
            <w:r>
              <w:rPr/>
              <w:t>(c)</w:t>
            </w:r>
          </w:p>
        </w:tc>
        <w:tc>
          <w:tcPr>
            <w:tcW w:w="9070" w:type="dxa"/>
            <w:tcBorders/>
            <w:vAlign w:val="center"/>
          </w:tcPr>
          <w:p>
            <w:pPr>
              <w:pStyle w:val="TableContents"/>
              <w:bidi w:val="0"/>
              <w:jc w:val="left"/>
              <w:rPr/>
            </w:pPr>
            <w:r>
              <w:rPr/>
              <w:t xml:space="preserve">Citizenship: </w:t>
            </w:r>
          </w:p>
          <w:p>
            <w:pPr>
              <w:pStyle w:val="TableContents"/>
              <w:bidi w:val="0"/>
              <w:spacing w:before="0" w:after="0"/>
              <w:jc w:val="left"/>
              <w:rPr/>
            </w:pPr>
            <w:r>
              <w:rPr/>
              <w:t>(i) Alyeska Investment Group, L.P. - Delaware (ii) Alyeska Fund GP, LLC - Delaware (iii) Anand Parekh -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283"/>
              <w:jc w:val="left"/>
              <w:rPr/>
            </w:pPr>
            <w:r>
              <w:rPr/>
              <w:t>(d)</w:t>
            </w:r>
          </w:p>
        </w:tc>
        <w:tc>
          <w:tcPr>
            <w:tcW w:w="907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No Par Value</w:t>
            </w:r>
          </w:p>
        </w:tc>
        <w:tc>
          <w:tcPr>
            <w:tcW w:w="155" w:type="dxa"/>
            <w:tcBorders/>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283"/>
              <w:jc w:val="left"/>
              <w:rPr/>
            </w:pPr>
            <w:r>
              <w:rPr/>
              <w:t>(e)</w:t>
            </w:r>
          </w:p>
        </w:tc>
        <w:tc>
          <w:tcPr>
            <w:tcW w:w="907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283"/>
              <w:jc w:val="left"/>
              <w:rPr/>
            </w:pPr>
            <w:r>
              <w:rPr/>
              <w:t>Item 3.</w:t>
            </w:r>
          </w:p>
        </w:tc>
        <w:tc>
          <w:tcPr>
            <w:tcW w:w="907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283"/>
              <w:jc w:val="left"/>
              <w:rPr/>
            </w:pPr>
            <w:r>
              <w:rPr/>
              <w:t>(a)</w:t>
            </w:r>
          </w:p>
        </w:tc>
        <w:tc>
          <w:tcPr>
            <w:tcW w:w="9070"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283"/>
              <w:jc w:val="left"/>
              <w:rPr/>
            </w:pPr>
            <w:r>
              <w:rPr/>
              <w:t>(b)</w:t>
            </w:r>
          </w:p>
        </w:tc>
        <w:tc>
          <w:tcPr>
            <w:tcW w:w="9070"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283"/>
              <w:jc w:val="left"/>
              <w:rPr/>
            </w:pPr>
            <w:r>
              <w:rPr/>
              <w:t>(c)</w:t>
            </w:r>
          </w:p>
        </w:tc>
        <w:tc>
          <w:tcPr>
            <w:tcW w:w="9070"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283"/>
              <w:jc w:val="left"/>
              <w:rPr/>
            </w:pPr>
            <w:r>
              <w:rPr/>
              <w:t>(d)</w:t>
            </w:r>
          </w:p>
        </w:tc>
        <w:tc>
          <w:tcPr>
            <w:tcW w:w="9070"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283"/>
              <w:jc w:val="left"/>
              <w:rPr/>
            </w:pPr>
            <w:r>
              <w:rPr/>
              <w:t>(e)</w:t>
            </w:r>
          </w:p>
        </w:tc>
        <w:tc>
          <w:tcPr>
            <w:tcW w:w="9070"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283"/>
              <w:jc w:val="left"/>
              <w:rPr/>
            </w:pPr>
            <w:r>
              <w:rPr/>
              <w:t>(f)</w:t>
            </w:r>
          </w:p>
        </w:tc>
        <w:tc>
          <w:tcPr>
            <w:tcW w:w="9070"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283"/>
              <w:jc w:val="left"/>
              <w:rPr/>
            </w:pPr>
            <w:r>
              <w:rPr/>
              <w:t>(g)</w:t>
            </w:r>
          </w:p>
        </w:tc>
        <w:tc>
          <w:tcPr>
            <w:tcW w:w="9070"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283"/>
              <w:jc w:val="left"/>
              <w:rPr/>
            </w:pPr>
            <w:r>
              <w:rPr/>
              <w:t>(h)</w:t>
            </w:r>
          </w:p>
        </w:tc>
        <w:tc>
          <w:tcPr>
            <w:tcW w:w="9070"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283"/>
              <w:jc w:val="left"/>
              <w:rPr/>
            </w:pPr>
            <w:r>
              <w:rPr/>
              <w:t>(i)</w:t>
            </w:r>
          </w:p>
        </w:tc>
        <w:tc>
          <w:tcPr>
            <w:tcW w:w="9070"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283"/>
              <w:jc w:val="left"/>
              <w:rPr/>
            </w:pPr>
            <w:r>
              <w:rPr/>
              <w:t>(j)</w:t>
            </w:r>
          </w:p>
        </w:tc>
        <w:tc>
          <w:tcPr>
            <w:tcW w:w="9070"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283"/>
              <w:jc w:val="left"/>
              <w:rPr/>
            </w:pPr>
            <w:r>
              <w:rPr/>
              <w:t>(k)</w:t>
            </w:r>
          </w:p>
        </w:tc>
        <w:tc>
          <w:tcPr>
            <w:tcW w:w="9070"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283"/>
              <w:jc w:val="left"/>
              <w:rPr/>
            </w:pPr>
            <w:r>
              <w:rPr/>
              <w:t> </w:t>
            </w:r>
          </w:p>
        </w:tc>
        <w:tc>
          <w:tcPr>
            <w:tcW w:w="9225" w:type="dxa"/>
            <w:gridSpan w:val="2"/>
            <w:tcBorders/>
            <w:vAlign w:val="center"/>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283"/>
              <w:jc w:val="left"/>
              <w:rPr/>
            </w:pPr>
            <w:r>
              <w:rPr/>
              <w:t>Item 4.</w:t>
            </w:r>
          </w:p>
        </w:tc>
        <w:tc>
          <w:tcPr>
            <w:tcW w:w="907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283"/>
              <w:jc w:val="left"/>
              <w:rPr/>
            </w:pPr>
            <w:r>
              <w:rPr/>
              <w:t>(a)</w:t>
            </w:r>
          </w:p>
        </w:tc>
        <w:tc>
          <w:tcPr>
            <w:tcW w:w="907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777,833</w:t>
            </w:r>
          </w:p>
        </w:tc>
        <w:tc>
          <w:tcPr>
            <w:tcW w:w="155" w:type="dxa"/>
            <w:tcBorders/>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283"/>
              <w:jc w:val="left"/>
              <w:rPr/>
            </w:pPr>
            <w:r>
              <w:rPr/>
              <w:t>(b)</w:t>
            </w:r>
          </w:p>
        </w:tc>
        <w:tc>
          <w:tcPr>
            <w:tcW w:w="907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2.44%  % </w:t>
            </w:r>
          </w:p>
        </w:tc>
        <w:tc>
          <w:tcPr>
            <w:tcW w:w="155" w:type="dxa"/>
            <w:tcBorders/>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283"/>
              <w:jc w:val="left"/>
              <w:rPr/>
            </w:pPr>
            <w:r>
              <w:rPr/>
              <w:t>(c)</w:t>
            </w:r>
          </w:p>
        </w:tc>
        <w:tc>
          <w:tcPr>
            <w:tcW w:w="907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283"/>
              <w:jc w:val="left"/>
              <w:rPr/>
            </w:pPr>
            <w:r>
              <w:rPr/>
              <w:t> </w:t>
            </w:r>
          </w:p>
        </w:tc>
        <w:tc>
          <w:tcPr>
            <w:tcW w:w="907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283"/>
              <w:jc w:val="left"/>
              <w:rPr/>
            </w:pPr>
            <w:r>
              <w:rPr/>
              <w:t> </w:t>
            </w:r>
          </w:p>
        </w:tc>
        <w:tc>
          <w:tcPr>
            <w:tcW w:w="907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777,833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283"/>
              <w:jc w:val="left"/>
              <w:rPr/>
            </w:pPr>
            <w:r>
              <w:rPr/>
              <w:t> </w:t>
            </w:r>
          </w:p>
        </w:tc>
        <w:tc>
          <w:tcPr>
            <w:tcW w:w="907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283"/>
              <w:jc w:val="left"/>
              <w:rPr/>
            </w:pPr>
            <w:r>
              <w:rPr/>
              <w:t> </w:t>
            </w:r>
          </w:p>
        </w:tc>
        <w:tc>
          <w:tcPr>
            <w:tcW w:w="907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777,833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283"/>
              <w:jc w:val="left"/>
              <w:rPr/>
            </w:pPr>
            <w:r>
              <w:rPr/>
              <w:t>Item 5.</w:t>
            </w:r>
          </w:p>
        </w:tc>
        <w:tc>
          <w:tcPr>
            <w:tcW w:w="907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283"/>
              <w:jc w:val="left"/>
              <w:rPr/>
            </w:pPr>
            <w:r>
              <w:rPr/>
              <w:t> </w:t>
            </w:r>
          </w:p>
        </w:tc>
        <w:tc>
          <w:tcPr>
            <w:tcW w:w="9070" w:type="dxa"/>
            <w:tcBorders/>
            <w:vAlign w:val="center"/>
          </w:tcPr>
          <w:p>
            <w:pPr>
              <w:pStyle w:val="TableContents"/>
              <w:bidi w:val="0"/>
              <w:spacing w:before="0" w:after="0"/>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283"/>
              <w:jc w:val="left"/>
              <w:rPr/>
            </w:pPr>
            <w:r>
              <w:rPr/>
              <w:t>Item 6.</w:t>
            </w:r>
          </w:p>
        </w:tc>
        <w:tc>
          <w:tcPr>
            <w:tcW w:w="907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283"/>
              <w:jc w:val="left"/>
              <w:rPr/>
            </w:pPr>
            <w:r>
              <w:rPr/>
              <w:t> </w:t>
            </w:r>
          </w:p>
        </w:tc>
        <w:tc>
          <w:tcPr>
            <w:tcW w:w="907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283"/>
              <w:jc w:val="left"/>
              <w:rPr/>
            </w:pPr>
            <w:r>
              <w:rPr/>
              <w:t>Item 7.</w:t>
            </w:r>
          </w:p>
        </w:tc>
        <w:tc>
          <w:tcPr>
            <w:tcW w:w="907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283"/>
              <w:jc w:val="left"/>
              <w:rPr/>
            </w:pPr>
            <w:r>
              <w:rPr/>
              <w:t> </w:t>
            </w:r>
          </w:p>
        </w:tc>
        <w:tc>
          <w:tcPr>
            <w:tcW w:w="907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283"/>
              <w:jc w:val="left"/>
              <w:rPr/>
            </w:pPr>
            <w:r>
              <w:rPr/>
              <w:t>Item 8.</w:t>
            </w:r>
          </w:p>
        </w:tc>
        <w:tc>
          <w:tcPr>
            <w:tcW w:w="907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283"/>
              <w:jc w:val="left"/>
              <w:rPr/>
            </w:pPr>
            <w:r>
              <w:rPr/>
              <w:t> </w:t>
            </w:r>
          </w:p>
        </w:tc>
        <w:tc>
          <w:tcPr>
            <w:tcW w:w="907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283"/>
              <w:jc w:val="left"/>
              <w:rPr/>
            </w:pPr>
            <w:r>
              <w:rPr/>
              <w:t>Item 9.</w:t>
            </w:r>
          </w:p>
        </w:tc>
        <w:tc>
          <w:tcPr>
            <w:tcW w:w="907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283"/>
              <w:jc w:val="left"/>
              <w:rPr/>
            </w:pPr>
            <w:r>
              <w:rPr/>
              <w:t> </w:t>
            </w:r>
          </w:p>
        </w:tc>
        <w:tc>
          <w:tcPr>
            <w:tcW w:w="907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722" w:type="dxa"/>
        <w:jc w:val="left"/>
        <w:tblInd w:w="0" w:type="dxa"/>
        <w:tblLayout w:type="fixed"/>
        <w:tblCellMar>
          <w:top w:w="28" w:type="dxa"/>
          <w:left w:w="28" w:type="dxa"/>
          <w:bottom w:w="28" w:type="dxa"/>
          <w:right w:w="28" w:type="dxa"/>
        </w:tblCellMar>
      </w:tblPr>
      <w:tblGrid>
        <w:gridCol w:w="3361"/>
        <w:gridCol w:w="3361"/>
      </w:tblGrid>
      <w:tr>
        <w:trPr/>
        <w:tc>
          <w:tcPr>
            <w:tcW w:w="3361" w:type="dxa"/>
            <w:tcBorders/>
            <w:vAlign w:val="center"/>
          </w:tcPr>
          <w:p>
            <w:pPr>
              <w:pStyle w:val="TableContents"/>
              <w:bidi w:val="0"/>
              <w:spacing w:before="0" w:after="0"/>
              <w:jc w:val="left"/>
              <w:rPr/>
            </w:pPr>
            <w:r>
              <w:rPr/>
              <w:t> </w:t>
            </w:r>
          </w:p>
          <w:tbl>
            <w:tblPr>
              <w:tblW w:w="3241" w:type="dxa"/>
              <w:jc w:val="left"/>
              <w:tblInd w:w="0" w:type="dxa"/>
              <w:tblLayout w:type="fixed"/>
              <w:tblCellMar>
                <w:top w:w="28" w:type="dxa"/>
                <w:left w:w="28" w:type="dxa"/>
                <w:bottom w:w="28" w:type="dxa"/>
                <w:right w:w="28" w:type="dxa"/>
              </w:tblCellMar>
            </w:tblPr>
            <w:tblGrid>
              <w:gridCol w:w="3241"/>
            </w:tblGrid>
            <w:tr>
              <w:trPr/>
              <w:tc>
                <w:tcPr>
                  <w:tcW w:w="3241" w:type="dxa"/>
                  <w:tcBorders/>
                  <w:vAlign w:val="center"/>
                </w:tcPr>
                <w:p>
                  <w:pPr>
                    <w:pStyle w:val="TableContents"/>
                    <w:bidi w:val="0"/>
                    <w:spacing w:before="0" w:after="0"/>
                    <w:jc w:val="left"/>
                    <w:rPr/>
                  </w:pPr>
                  <w:r>
                    <w:rPr/>
                    <w:t>Alyeska Investment Group, L.P.</w:t>
                  </w:r>
                </w:p>
              </w:tc>
            </w:tr>
          </w:tbl>
          <w:p>
            <w:pPr>
              <w:pStyle w:val="TableContents"/>
              <w:bidi w:val="0"/>
              <w:spacing w:before="0" w:after="283"/>
              <w:jc w:val="left"/>
              <w:rPr/>
            </w:pPr>
            <w:r>
              <w:rPr/>
            </w:r>
          </w:p>
        </w:tc>
        <w:tc>
          <w:tcPr>
            <w:tcW w:w="336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4"/>
        <w:gridCol w:w="4371"/>
      </w:tblGrid>
      <w:tr>
        <w:trPr/>
        <w:tc>
          <w:tcPr>
            <w:tcW w:w="583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Jason Bragg</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Jason Bragg | Chief Financial Officer</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71" w:type="dxa"/>
            <w:tcBorders/>
            <w:vAlign w:val="center"/>
          </w:tcPr>
          <w:p>
            <w:pPr>
              <w:pStyle w:val="TableContents"/>
              <w:bidi w:val="0"/>
              <w:spacing w:before="0" w:after="283"/>
              <w:jc w:val="left"/>
              <w:rPr>
                <w:sz w:val="4"/>
                <w:szCs w:val="4"/>
              </w:rPr>
            </w:pPr>
            <w:r>
              <w:rPr>
                <w:sz w:val="4"/>
                <w:szCs w:val="4"/>
              </w:rPr>
            </w:r>
          </w:p>
        </w:tc>
      </w:tr>
    </w:tbl>
    <w:tbl>
      <w:tblPr>
        <w:tblW w:w="5124" w:type="dxa"/>
        <w:jc w:val="left"/>
        <w:tblInd w:w="0" w:type="dxa"/>
        <w:tblLayout w:type="fixed"/>
        <w:tblCellMar>
          <w:top w:w="28" w:type="dxa"/>
          <w:left w:w="28" w:type="dxa"/>
          <w:bottom w:w="28" w:type="dxa"/>
          <w:right w:w="28" w:type="dxa"/>
        </w:tblCellMar>
      </w:tblPr>
      <w:tblGrid>
        <w:gridCol w:w="2562"/>
        <w:gridCol w:w="2562"/>
      </w:tblGrid>
      <w:tr>
        <w:trPr/>
        <w:tc>
          <w:tcPr>
            <w:tcW w:w="2562" w:type="dxa"/>
            <w:tcBorders/>
            <w:vAlign w:val="center"/>
          </w:tcPr>
          <w:p>
            <w:pPr>
              <w:pStyle w:val="TableContents"/>
              <w:bidi w:val="0"/>
              <w:spacing w:before="0" w:after="0"/>
              <w:jc w:val="left"/>
              <w:rPr/>
            </w:pPr>
            <w:r>
              <w:rPr/>
              <w:t> </w:t>
            </w:r>
          </w:p>
          <w:tbl>
            <w:tblPr>
              <w:tblW w:w="2461" w:type="dxa"/>
              <w:jc w:val="left"/>
              <w:tblInd w:w="0" w:type="dxa"/>
              <w:tblLayout w:type="fixed"/>
              <w:tblCellMar>
                <w:top w:w="28" w:type="dxa"/>
                <w:left w:w="28" w:type="dxa"/>
                <w:bottom w:w="28" w:type="dxa"/>
                <w:right w:w="28" w:type="dxa"/>
              </w:tblCellMar>
            </w:tblPr>
            <w:tblGrid>
              <w:gridCol w:w="2461"/>
            </w:tblGrid>
            <w:tr>
              <w:trPr/>
              <w:tc>
                <w:tcPr>
                  <w:tcW w:w="2461" w:type="dxa"/>
                  <w:tcBorders/>
                  <w:vAlign w:val="center"/>
                </w:tcPr>
                <w:p>
                  <w:pPr>
                    <w:pStyle w:val="TableContents"/>
                    <w:bidi w:val="0"/>
                    <w:spacing w:before="0" w:after="0"/>
                    <w:jc w:val="left"/>
                    <w:rPr/>
                  </w:pPr>
                  <w:r>
                    <w:rPr/>
                    <w:t>Alyeska Fund GP, LLC</w:t>
                  </w:r>
                </w:p>
              </w:tc>
            </w:tr>
          </w:tbl>
          <w:p>
            <w:pPr>
              <w:pStyle w:val="TableContents"/>
              <w:bidi w:val="0"/>
              <w:spacing w:before="0" w:after="283"/>
              <w:jc w:val="left"/>
              <w:rPr/>
            </w:pPr>
            <w:r>
              <w:rPr/>
            </w:r>
          </w:p>
        </w:tc>
        <w:tc>
          <w:tcPr>
            <w:tcW w:w="25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4"/>
        <w:gridCol w:w="4371"/>
      </w:tblGrid>
      <w:tr>
        <w:trPr/>
        <w:tc>
          <w:tcPr>
            <w:tcW w:w="583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Jason Bragg</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Jason Bragg | Chief Financial Officer</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71" w:type="dxa"/>
            <w:tcBorders/>
            <w:vAlign w:val="center"/>
          </w:tcPr>
          <w:p>
            <w:pPr>
              <w:pStyle w:val="TableContents"/>
              <w:bidi w:val="0"/>
              <w:spacing w:before="0" w:after="283"/>
              <w:jc w:val="left"/>
              <w:rPr>
                <w:sz w:val="4"/>
                <w:szCs w:val="4"/>
              </w:rPr>
            </w:pPr>
            <w:r>
              <w:rPr>
                <w:sz w:val="4"/>
                <w:szCs w:val="4"/>
              </w:rPr>
            </w:r>
          </w:p>
        </w:tc>
      </w:tr>
    </w:tbl>
    <w:tbl>
      <w:tblPr>
        <w:tblW w:w="3306" w:type="dxa"/>
        <w:jc w:val="left"/>
        <w:tblInd w:w="0" w:type="dxa"/>
        <w:tblLayout w:type="fixed"/>
        <w:tblCellMar>
          <w:top w:w="28" w:type="dxa"/>
          <w:left w:w="28" w:type="dxa"/>
          <w:bottom w:w="28" w:type="dxa"/>
          <w:right w:w="28" w:type="dxa"/>
        </w:tblCellMar>
      </w:tblPr>
      <w:tblGrid>
        <w:gridCol w:w="1653"/>
        <w:gridCol w:w="1653"/>
      </w:tblGrid>
      <w:tr>
        <w:trPr/>
        <w:tc>
          <w:tcPr>
            <w:tcW w:w="1653" w:type="dxa"/>
            <w:tcBorders/>
            <w:vAlign w:val="center"/>
          </w:tcPr>
          <w:p>
            <w:pPr>
              <w:pStyle w:val="TableContents"/>
              <w:bidi w:val="0"/>
              <w:spacing w:before="0" w:after="0"/>
              <w:jc w:val="left"/>
              <w:rPr/>
            </w:pPr>
            <w:r>
              <w:rPr/>
              <w:t> </w:t>
            </w:r>
          </w:p>
          <w:tbl>
            <w:tblPr>
              <w:tblW w:w="1531" w:type="dxa"/>
              <w:jc w:val="left"/>
              <w:tblInd w:w="0" w:type="dxa"/>
              <w:tblLayout w:type="fixed"/>
              <w:tblCellMar>
                <w:top w:w="28" w:type="dxa"/>
                <w:left w:w="28" w:type="dxa"/>
                <w:bottom w:w="28" w:type="dxa"/>
                <w:right w:w="28" w:type="dxa"/>
              </w:tblCellMar>
            </w:tblPr>
            <w:tblGrid>
              <w:gridCol w:w="1531"/>
            </w:tblGrid>
            <w:tr>
              <w:trPr/>
              <w:tc>
                <w:tcPr>
                  <w:tcW w:w="1531" w:type="dxa"/>
                  <w:tcBorders/>
                  <w:vAlign w:val="center"/>
                </w:tcPr>
                <w:p>
                  <w:pPr>
                    <w:pStyle w:val="TableContents"/>
                    <w:bidi w:val="0"/>
                    <w:spacing w:before="0" w:after="0"/>
                    <w:jc w:val="left"/>
                    <w:rPr/>
                  </w:pPr>
                  <w:r>
                    <w:rPr/>
                    <w:t>Anand Parekh</w:t>
                  </w:r>
                </w:p>
              </w:tc>
            </w:tr>
          </w:tbl>
          <w:p>
            <w:pPr>
              <w:pStyle w:val="TableContents"/>
              <w:bidi w:val="0"/>
              <w:spacing w:before="0" w:after="283"/>
              <w:jc w:val="left"/>
              <w:rPr/>
            </w:pPr>
            <w:r>
              <w:rPr/>
            </w:r>
          </w:p>
        </w:tc>
        <w:tc>
          <w:tcPr>
            <w:tcW w:w="165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0"/>
        <w:gridCol w:w="4455"/>
      </w:tblGrid>
      <w:tr>
        <w:trPr/>
        <w:tc>
          <w:tcPr>
            <w:tcW w:w="575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Anand Parekh</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Anand Parekh | Self</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45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As of March 31, 2026, the Reporting Persons beneficially own 777,833 shares of Common Stock. The number of shares of Common Stock outstanding (31,878,966) is based on the Annual Report to Security Holders dated March 26, 2026. Position held by Alyeska Master Fund, L.P. Alyeska Investment Group, L.P., as investment manager, exercises voting and investment control over the shares held by Alyeska Master Fund, L.P. Anand Parekh, as Chief Executive Officer of Alyeska Investment Group, L.P., may be deemed the beneficial owner of such shares. Mr. Parekh disclaims beneficial ownership of such shares. JOINT FILING STATEMENT PURSUANT TO RULE 13d-1(k) 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checked.jpg" TargetMode="External"/><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1266</Words>
  <Characters>6542</Characters>
  <CharactersWithSpaces>7762</CharactersWithSpaces>
  <Paragraphs>256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