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214630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127635</wp:posOffset>
            </wp:positionV>
            <wp:extent cx="179451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11430"/>
                    </a:xfrm>
                    <a:prstGeom prst="rect">
                      <a:avLst/>
                    </a:prstGeom>
                    <a:noFill/>
                  </pic:spPr>
                </pic:pic>
              </a:graphicData>
            </a:graphic>
          </wp:anchor>
        </w:drawing>
      </w:r>
    </w:p>
    <w:p>
      <w:pPr>
        <w:spacing w:after="0" w:line="37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Securities Exchange Act of 1934</w:t>
      </w:r>
    </w:p>
    <w:p>
      <w:pPr>
        <w:spacing w:after="0" w:line="13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 May 7, 2026</w:t>
      </w:r>
    </w:p>
    <w:p>
      <w:pPr>
        <w:spacing w:after="0" w:line="1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LINCOLN EDUCATIONAL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41" w:lineRule="exact"/>
        <w:rPr>
          <w:sz w:val="24"/>
          <w:szCs w:val="24"/>
          <w:color w:val="auto"/>
        </w:rPr>
      </w:pPr>
    </w:p>
    <w:tbl>
      <w:tblPr>
        <w:tblLayout w:type="fixed"/>
        <w:tblInd w:w="8" w:type="dxa"/>
        <w:tblCellMar>
          <w:top w:w="0" w:type="dxa"/>
          <w:left w:w="0" w:type="dxa"/>
          <w:bottom w:w="0" w:type="dxa"/>
          <w:right w:w="0" w:type="dxa"/>
        </w:tblCellMar>
      </w:tblPr>
      <w:tr>
        <w:trPr>
          <w:trHeight w:val="162"/>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New Jersey</w:t>
            </w:r>
          </w:p>
        </w:tc>
        <w:tc>
          <w:tcPr>
            <w:tcW w:w="2500" w:type="dxa"/>
            <w:vAlign w:val="bottom"/>
          </w:tcPr>
          <w:p>
            <w:pPr>
              <w:jc w:val="center"/>
              <w:ind w:left="1080"/>
              <w:spacing w:after="0"/>
              <w:rPr>
                <w:sz w:val="20"/>
                <w:szCs w:val="20"/>
                <w:color w:val="auto"/>
              </w:rPr>
            </w:pPr>
            <w:r>
              <w:rPr>
                <w:rFonts w:ascii="Times New Roman" w:cs="Times New Roman" w:eastAsia="Times New Roman" w:hAnsi="Times New Roman"/>
                <w:sz w:val="12"/>
                <w:szCs w:val="12"/>
                <w:color w:val="auto"/>
                <w:w w:val="99"/>
              </w:rPr>
              <w:t>000-51371</w:t>
            </w:r>
          </w:p>
        </w:tc>
        <w:tc>
          <w:tcPr>
            <w:tcW w:w="4960" w:type="dxa"/>
            <w:vAlign w:val="bottom"/>
            <w:gridSpan w:val="3"/>
          </w:tcPr>
          <w:p>
            <w:pPr>
              <w:jc w:val="right"/>
              <w:ind w:right="1460"/>
              <w:spacing w:after="0"/>
              <w:rPr>
                <w:sz w:val="20"/>
                <w:szCs w:val="20"/>
                <w:color w:val="auto"/>
              </w:rPr>
            </w:pPr>
            <w:r>
              <w:rPr>
                <w:rFonts w:ascii="Times New Roman" w:cs="Times New Roman" w:eastAsia="Times New Roman" w:hAnsi="Times New Roman"/>
                <w:sz w:val="12"/>
                <w:szCs w:val="12"/>
                <w:color w:val="auto"/>
              </w:rPr>
              <w:t>57-1150621</w:t>
            </w:r>
          </w:p>
        </w:tc>
      </w:tr>
      <w:tr>
        <w:trPr>
          <w:trHeight w:val="155"/>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(State or other jurisdiction of incorporation)</w:t>
            </w:r>
          </w:p>
        </w:tc>
        <w:tc>
          <w:tcPr>
            <w:tcW w:w="240" w:type="dxa"/>
            <w:vAlign w:val="bottom"/>
          </w:tcPr>
          <w:p>
            <w:pPr>
              <w:spacing w:after="0"/>
              <w:rPr>
                <w:sz w:val="13"/>
                <w:szCs w:val="13"/>
                <w:color w:val="auto"/>
              </w:rPr>
            </w:pPr>
          </w:p>
        </w:tc>
        <w:tc>
          <w:tcPr>
            <w:tcW w:w="2500" w:type="dxa"/>
            <w:vAlign w:val="bottom"/>
            <w:tcBorders>
              <w:top w:val="single" w:sz="8" w:color="auto"/>
            </w:tcBorders>
          </w:tcPr>
          <w:p>
            <w:pPr>
              <w:jc w:val="center"/>
              <w:ind w:left="1080"/>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277"/>
        </w:trPr>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gridSpan w:val="4"/>
          </w:tcPr>
          <w:p>
            <w:pPr>
              <w:jc w:val="center"/>
              <w:ind w:right="3780"/>
              <w:spacing w:after="0"/>
              <w:rPr>
                <w:sz w:val="20"/>
                <w:szCs w:val="20"/>
                <w:color w:val="auto"/>
              </w:rPr>
            </w:pPr>
            <w:r>
              <w:rPr>
                <w:rFonts w:ascii="Times New Roman" w:cs="Times New Roman" w:eastAsia="Times New Roman" w:hAnsi="Times New Roman"/>
                <w:sz w:val="12"/>
                <w:szCs w:val="12"/>
                <w:color w:val="auto"/>
                <w:w w:val="99"/>
              </w:rPr>
              <w:t>14 Sylvan Way, Suite A, Parsippany, NJ 07054</w:t>
            </w:r>
          </w:p>
        </w:tc>
      </w:tr>
      <w:tr>
        <w:trPr>
          <w:trHeight w:val="143"/>
        </w:trPr>
        <w:tc>
          <w:tcPr>
            <w:tcW w:w="3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496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(Zip Code)</w:t>
            </w:r>
          </w:p>
        </w:tc>
      </w:tr>
    </w:tbl>
    <w:p>
      <w:pPr>
        <w:jc w:val="center"/>
        <w:ind w:right="-7"/>
        <w:spacing w:after="0"/>
        <w:rPr>
          <w:sz w:val="20"/>
          <w:szCs w:val="20"/>
          <w:color w:val="auto"/>
        </w:rPr>
      </w:pPr>
      <w:r>
        <w:rPr>
          <w:rFonts w:ascii="Times New Roman" w:cs="Times New Roman" w:eastAsia="Times New Roman" w:hAnsi="Times New Roman"/>
          <w:sz w:val="12"/>
          <w:szCs w:val="12"/>
          <w:color w:val="auto"/>
        </w:rPr>
        <w:t>Registrant’s telephone number, including area code: (973) 736-9340</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328" w:hanging="328"/>
        <w:spacing w:after="0"/>
        <w:tabs>
          <w:tab w:leader="none" w:pos="3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620" w:hanging="8"/>
        <w:spacing w:after="0" w:line="510" w:lineRule="auto"/>
        <w:tabs>
          <w:tab w:leader="none" w:pos="33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42"/>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42"/>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no par value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LINC</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33" w:lineRule="exact"/>
        <w:rPr>
          <w:sz w:val="24"/>
          <w:szCs w:val="24"/>
          <w:color w:val="auto"/>
        </w:rPr>
      </w:pPr>
    </w:p>
    <w:p>
      <w:pPr>
        <w:ind w:left="8" w:right="18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528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2"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7178040"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91"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5.07 Submission of Matters to a Vote of Security Holders.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On May 7, 2026, Lincoln Educational Services Corporation (the “Company”) held its 2026 Annual Meeting of Shareholders (the “Annual Meeting”) virtually via live webcast. A total of 31,696,582 shares of common stock, no par value per share (the “Common Stock”), were issued and outstanding and entitled to vote as of March 18, 2026, the record date for the Annual Meeting. There were 27,003,422 shares of Common Stock represented in person or by proxy at the Annual Meeting, constituting a quorum. Each of the proposals was approved by the requisite vote of the Company’s shareholders. Set forth below are the proposals acted upon, as further described in the Company’s definitive proxy statement on Schedule 14A filed with the Securities and Exchange Commission on March 26, 2026, and the final voting results for each proposal:</w:t>
      </w:r>
    </w:p>
    <w:p>
      <w:pPr>
        <w:spacing w:after="0" w:line="118" w:lineRule="exact"/>
        <w:rPr>
          <w:sz w:val="20"/>
          <w:szCs w:val="20"/>
          <w:color w:val="auto"/>
        </w:rPr>
      </w:pPr>
    </w:p>
    <w:p>
      <w:pPr>
        <w:ind w:left="640" w:right="20"/>
        <w:spacing w:after="0" w:line="286" w:lineRule="auto"/>
        <w:rPr>
          <w:sz w:val="20"/>
          <w:szCs w:val="20"/>
          <w:color w:val="auto"/>
        </w:rPr>
      </w:pPr>
      <w:r>
        <w:rPr>
          <w:rFonts w:ascii="Times New Roman" w:cs="Times New Roman" w:eastAsia="Times New Roman" w:hAnsi="Times New Roman"/>
          <w:sz w:val="12"/>
          <w:szCs w:val="12"/>
          <w:b w:val="1"/>
          <w:bCs w:val="1"/>
          <w:color w:val="auto"/>
        </w:rPr>
        <w:t>Proposal Number 1</w:t>
      </w:r>
      <w:r>
        <w:rPr>
          <w:rFonts w:ascii="Times New Roman" w:cs="Times New Roman" w:eastAsia="Times New Roman" w:hAnsi="Times New Roman"/>
          <w:sz w:val="12"/>
          <w:szCs w:val="12"/>
          <w:color w:val="auto"/>
        </w:rPr>
        <w:t>: To elect the following 10 individuals named in the Company’s proxy statement as directors of the Company for a one-year term which will expire at the 2027 Annual Meeting of Shareholders or until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their successors are duly elected and qualified. Each nominee for director was elected by a vote of the shareholders as follows:</w:t>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144"/>
        </w:trPr>
        <w:tc>
          <w:tcPr>
            <w:tcW w:w="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8"/>
              </w:rPr>
              <w:t>Broker</w:t>
            </w:r>
          </w:p>
        </w:tc>
      </w:tr>
      <w:tr>
        <w:trPr>
          <w:trHeight w:val="132"/>
        </w:trPr>
        <w:tc>
          <w:tcPr>
            <w:tcW w:w="2080" w:type="dxa"/>
            <w:vAlign w:val="bottom"/>
            <w:gridSpan w:val="2"/>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Nominee</w:t>
            </w:r>
          </w:p>
        </w:tc>
        <w:tc>
          <w:tcPr>
            <w:tcW w:w="1000" w:type="dxa"/>
            <w:vAlign w:val="bottom"/>
          </w:tcPr>
          <w:p>
            <w:pPr>
              <w:spacing w:after="0"/>
              <w:rPr>
                <w:sz w:val="11"/>
                <w:szCs w:val="11"/>
                <w:color w:val="auto"/>
              </w:rPr>
            </w:pPr>
          </w:p>
        </w:tc>
        <w:tc>
          <w:tcPr>
            <w:tcW w:w="1800" w:type="dxa"/>
            <w:vAlign w:val="bottom"/>
            <w:gridSpan w:val="2"/>
          </w:tcPr>
          <w:p>
            <w:pPr>
              <w:jc w:val="center"/>
              <w:ind w:right="1300"/>
              <w:spacing w:after="0" w:line="132" w:lineRule="exact"/>
              <w:rPr>
                <w:sz w:val="20"/>
                <w:szCs w:val="20"/>
                <w:color w:val="auto"/>
              </w:rPr>
            </w:pPr>
            <w:r>
              <w:rPr>
                <w:rFonts w:ascii="Times New Roman" w:cs="Times New Roman" w:eastAsia="Times New Roman" w:hAnsi="Times New Roman"/>
                <w:sz w:val="12"/>
                <w:szCs w:val="12"/>
                <w:b w:val="1"/>
                <w:bCs w:val="1"/>
                <w:color w:val="auto"/>
                <w:w w:val="99"/>
              </w:rPr>
              <w:t>Votes For</w:t>
            </w:r>
          </w:p>
        </w:tc>
        <w:tc>
          <w:tcPr>
            <w:tcW w:w="2240" w:type="dxa"/>
            <w:vAlign w:val="bottom"/>
            <w:gridSpan w:val="2"/>
          </w:tcPr>
          <w:p>
            <w:pPr>
              <w:jc w:val="center"/>
              <w:ind w:right="1460"/>
              <w:spacing w:after="0" w:line="132" w:lineRule="exact"/>
              <w:rPr>
                <w:sz w:val="20"/>
                <w:szCs w:val="20"/>
                <w:color w:val="auto"/>
              </w:rPr>
            </w:pPr>
            <w:r>
              <w:rPr>
                <w:rFonts w:ascii="Times New Roman" w:cs="Times New Roman" w:eastAsia="Times New Roman" w:hAnsi="Times New Roman"/>
                <w:sz w:val="12"/>
                <w:szCs w:val="12"/>
                <w:b w:val="1"/>
                <w:bCs w:val="1"/>
                <w:color w:val="auto"/>
                <w:w w:val="97"/>
              </w:rPr>
              <w:t>Votes Withheld</w:t>
            </w:r>
          </w:p>
        </w:tc>
        <w:tc>
          <w:tcPr>
            <w:tcW w:w="1320" w:type="dxa"/>
            <w:vAlign w:val="bottom"/>
            <w:gridSpan w:val="2"/>
          </w:tcPr>
          <w:p>
            <w:pPr>
              <w:jc w:val="center"/>
              <w:ind w:right="8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Non-Votes</w:t>
            </w:r>
          </w:p>
        </w:tc>
      </w:tr>
      <w:tr>
        <w:trPr>
          <w:trHeight w:val="27"/>
        </w:trPr>
        <w:tc>
          <w:tcPr>
            <w:tcW w:w="46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r>
      <w:tr>
        <w:trPr>
          <w:trHeight w:val="144"/>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John A Bartholdson</w:t>
            </w:r>
          </w:p>
        </w:tc>
        <w:tc>
          <w:tcPr>
            <w:tcW w:w="28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23,626,016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239,935</w:t>
            </w: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shd w:val="clear" w:color="auto" w:fill="CCEEFF"/>
          </w:tcPr>
          <w:p>
            <w:pPr>
              <w:spacing w:after="0"/>
              <w:rPr>
                <w:sz w:val="12"/>
                <w:szCs w:val="12"/>
                <w:color w:val="auto"/>
              </w:rPr>
            </w:pPr>
          </w:p>
        </w:tc>
      </w:tr>
      <w:tr>
        <w:trPr>
          <w:trHeight w:val="144"/>
        </w:trPr>
        <w:tc>
          <w:tcPr>
            <w:tcW w:w="2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James J. Burke, Jr.</w:t>
            </w:r>
          </w:p>
        </w:tc>
        <w:tc>
          <w:tcPr>
            <w:tcW w:w="28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23,575,182</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290,769</w:t>
            </w:r>
          </w:p>
        </w:tc>
        <w:tc>
          <w:tcPr>
            <w:tcW w:w="14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tcPr>
          <w:p>
            <w:pPr>
              <w:spacing w:after="0"/>
              <w:rPr>
                <w:sz w:val="12"/>
                <w:szCs w:val="12"/>
                <w:color w:val="auto"/>
              </w:rPr>
            </w:pPr>
          </w:p>
        </w:tc>
      </w:tr>
      <w:tr>
        <w:trPr>
          <w:trHeight w:val="144"/>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Anna Escobedo Cabral</w:t>
            </w:r>
          </w:p>
        </w:tc>
        <w:tc>
          <w:tcPr>
            <w:tcW w:w="28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23,599,841</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266,110</w:t>
            </w: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shd w:val="clear" w:color="auto" w:fill="CCEEFF"/>
          </w:tcPr>
          <w:p>
            <w:pPr>
              <w:spacing w:after="0"/>
              <w:rPr>
                <w:sz w:val="12"/>
                <w:szCs w:val="12"/>
                <w:color w:val="auto"/>
              </w:rPr>
            </w:pPr>
          </w:p>
        </w:tc>
      </w:tr>
      <w:tr>
        <w:trPr>
          <w:trHeight w:val="144"/>
        </w:trPr>
        <w:tc>
          <w:tcPr>
            <w:tcW w:w="2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Kevin M. Carney</w:t>
            </w:r>
          </w:p>
        </w:tc>
        <w:tc>
          <w:tcPr>
            <w:tcW w:w="28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23,628,321</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237,630</w:t>
            </w:r>
          </w:p>
        </w:tc>
        <w:tc>
          <w:tcPr>
            <w:tcW w:w="14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tcPr>
          <w:p>
            <w:pPr>
              <w:spacing w:after="0"/>
              <w:rPr>
                <w:sz w:val="12"/>
                <w:szCs w:val="12"/>
                <w:color w:val="auto"/>
              </w:rPr>
            </w:pPr>
          </w:p>
        </w:tc>
      </w:tr>
      <w:tr>
        <w:trPr>
          <w:trHeight w:val="144"/>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Marta Newhart</w:t>
            </w:r>
          </w:p>
        </w:tc>
        <w:tc>
          <w:tcPr>
            <w:tcW w:w="28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23,615,050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250,901</w:t>
            </w: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shd w:val="clear" w:color="auto" w:fill="CCEEFF"/>
          </w:tcPr>
          <w:p>
            <w:pPr>
              <w:spacing w:after="0"/>
              <w:rPr>
                <w:sz w:val="12"/>
                <w:szCs w:val="12"/>
                <w:color w:val="auto"/>
              </w:rPr>
            </w:pPr>
          </w:p>
        </w:tc>
      </w:tr>
      <w:tr>
        <w:trPr>
          <w:trHeight w:val="144"/>
        </w:trPr>
        <w:tc>
          <w:tcPr>
            <w:tcW w:w="2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A Plater</w:t>
            </w:r>
          </w:p>
        </w:tc>
        <w:tc>
          <w:tcPr>
            <w:tcW w:w="28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23,479,505</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386,446</w:t>
            </w:r>
          </w:p>
        </w:tc>
        <w:tc>
          <w:tcPr>
            <w:tcW w:w="14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tcPr>
          <w:p>
            <w:pPr>
              <w:spacing w:after="0"/>
              <w:rPr>
                <w:sz w:val="12"/>
                <w:szCs w:val="12"/>
                <w:color w:val="auto"/>
              </w:rPr>
            </w:pPr>
          </w:p>
        </w:tc>
      </w:tr>
      <w:tr>
        <w:trPr>
          <w:trHeight w:val="144"/>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Felecia J. Pryor</w:t>
            </w:r>
          </w:p>
        </w:tc>
        <w:tc>
          <w:tcPr>
            <w:tcW w:w="28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23,612,578</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253,373</w:t>
            </w: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shd w:val="clear" w:color="auto" w:fill="CCEEFF"/>
          </w:tcPr>
          <w:p>
            <w:pPr>
              <w:spacing w:after="0"/>
              <w:rPr>
                <w:sz w:val="12"/>
                <w:szCs w:val="12"/>
                <w:color w:val="auto"/>
              </w:rPr>
            </w:pPr>
          </w:p>
        </w:tc>
      </w:tr>
      <w:tr>
        <w:trPr>
          <w:trHeight w:val="144"/>
        </w:trPr>
        <w:tc>
          <w:tcPr>
            <w:tcW w:w="2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Carlton E. Rose</w:t>
            </w:r>
          </w:p>
        </w:tc>
        <w:tc>
          <w:tcPr>
            <w:tcW w:w="28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23,629,625</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236,326</w:t>
            </w:r>
          </w:p>
        </w:tc>
        <w:tc>
          <w:tcPr>
            <w:tcW w:w="14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tcPr>
          <w:p>
            <w:pPr>
              <w:spacing w:after="0"/>
              <w:rPr>
                <w:sz w:val="12"/>
                <w:szCs w:val="12"/>
                <w:color w:val="auto"/>
              </w:rPr>
            </w:pPr>
          </w:p>
        </w:tc>
      </w:tr>
      <w:tr>
        <w:trPr>
          <w:trHeight w:val="144"/>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Scott M. Shaw</w:t>
            </w:r>
          </w:p>
        </w:tc>
        <w:tc>
          <w:tcPr>
            <w:tcW w:w="280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23,647,094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218,857</w:t>
            </w:r>
          </w:p>
        </w:tc>
        <w:tc>
          <w:tcPr>
            <w:tcW w:w="146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shd w:val="clear" w:color="auto" w:fill="CCEEFF"/>
          </w:tcPr>
          <w:p>
            <w:pPr>
              <w:spacing w:after="0"/>
              <w:rPr>
                <w:sz w:val="12"/>
                <w:szCs w:val="12"/>
                <w:color w:val="auto"/>
              </w:rPr>
            </w:pPr>
          </w:p>
        </w:tc>
      </w:tr>
      <w:tr>
        <w:trPr>
          <w:trHeight w:val="155"/>
        </w:trPr>
        <w:tc>
          <w:tcPr>
            <w:tcW w:w="2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Sylvia J. Young</w:t>
            </w:r>
          </w:p>
        </w:tc>
        <w:tc>
          <w:tcPr>
            <w:tcW w:w="28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color w:val="auto"/>
                <w:w w:val="99"/>
              </w:rPr>
              <w:t>23,631,057</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234,894</w:t>
            </w:r>
          </w:p>
        </w:tc>
        <w:tc>
          <w:tcPr>
            <w:tcW w:w="146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tcPr>
          <w:p>
            <w:pPr>
              <w:spacing w:after="0"/>
              <w:rPr>
                <w:sz w:val="13"/>
                <w:szCs w:val="13"/>
                <w:color w:val="auto"/>
              </w:rPr>
            </w:pPr>
          </w:p>
        </w:tc>
      </w:tr>
    </w:tbl>
    <w:p>
      <w:pPr>
        <w:spacing w:after="0" w:line="118"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2"/>
          <w:szCs w:val="12"/>
          <w:b w:val="1"/>
          <w:bCs w:val="1"/>
          <w:color w:val="auto"/>
        </w:rPr>
        <w:t>Proposal Number 2</w:t>
      </w:r>
      <w:r>
        <w:rPr>
          <w:rFonts w:ascii="Times New Roman" w:cs="Times New Roman" w:eastAsia="Times New Roman" w:hAnsi="Times New Roman"/>
          <w:sz w:val="12"/>
          <w:szCs w:val="12"/>
          <w:color w:val="auto"/>
        </w:rPr>
        <w:t>: To approve, on a non-binding advisory basis, the compensation of our named executive officers as disclosed in the Company’s proxy statement . The proposal was approved by a vote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shareholders as follows:</w:t>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144"/>
        </w:trPr>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3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8"/>
              </w:rPr>
              <w:t>Broker</w:t>
            </w:r>
          </w:p>
        </w:tc>
      </w:tr>
      <w:tr>
        <w:trPr>
          <w:trHeight w:val="132"/>
        </w:trPr>
        <w:tc>
          <w:tcPr>
            <w:tcW w:w="980" w:type="dxa"/>
            <w:vAlign w:val="bottom"/>
          </w:tcPr>
          <w:p>
            <w:pPr>
              <w:spacing w:after="0"/>
              <w:rPr>
                <w:sz w:val="11"/>
                <w:szCs w:val="11"/>
                <w:color w:val="auto"/>
              </w:rPr>
            </w:pPr>
          </w:p>
        </w:tc>
        <w:tc>
          <w:tcPr>
            <w:tcW w:w="2000" w:type="dxa"/>
            <w:vAlign w:val="bottom"/>
            <w:gridSpan w:val="2"/>
          </w:tcPr>
          <w:p>
            <w:pPr>
              <w:jc w:val="center"/>
              <w:ind w:right="15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Votes For</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8"/>
              </w:rPr>
              <w:t>Votes Against</w:t>
            </w:r>
          </w:p>
        </w:tc>
        <w:tc>
          <w:tcPr>
            <w:tcW w:w="3440" w:type="dxa"/>
            <w:vAlign w:val="bottom"/>
            <w:gridSpan w:val="3"/>
          </w:tcPr>
          <w:p>
            <w:pPr>
              <w:jc w:val="center"/>
              <w:ind w:right="260"/>
              <w:spacing w:after="0" w:line="132" w:lineRule="exact"/>
              <w:rPr>
                <w:sz w:val="20"/>
                <w:szCs w:val="20"/>
                <w:color w:val="auto"/>
              </w:rPr>
            </w:pPr>
            <w:r>
              <w:rPr>
                <w:rFonts w:ascii="Times New Roman" w:cs="Times New Roman" w:eastAsia="Times New Roman" w:hAnsi="Times New Roman"/>
                <w:sz w:val="12"/>
                <w:szCs w:val="12"/>
                <w:b w:val="1"/>
                <w:bCs w:val="1"/>
                <w:color w:val="auto"/>
              </w:rPr>
              <w:t>Abstentions</w:t>
            </w:r>
          </w:p>
        </w:tc>
        <w:tc>
          <w:tcPr>
            <w:tcW w:w="1320" w:type="dxa"/>
            <w:vAlign w:val="bottom"/>
            <w:gridSpan w:val="2"/>
          </w:tcPr>
          <w:p>
            <w:pPr>
              <w:jc w:val="center"/>
              <w:ind w:right="8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Non-Votes</w:t>
            </w:r>
          </w:p>
        </w:tc>
      </w:tr>
      <w:tr>
        <w:trPr>
          <w:trHeight w:val="27"/>
        </w:trPr>
        <w:tc>
          <w:tcPr>
            <w:tcW w:w="9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r>
      <w:tr>
        <w:trPr>
          <w:trHeight w:val="144"/>
        </w:trPr>
        <w:tc>
          <w:tcPr>
            <w:tcW w:w="2980" w:type="dxa"/>
            <w:vAlign w:val="bottom"/>
            <w:gridSpan w:val="3"/>
            <w:shd w:val="clear" w:color="auto" w:fill="CCEEFF"/>
          </w:tcPr>
          <w:p>
            <w:pPr>
              <w:jc w:val="right"/>
              <w:ind w:right="1500"/>
              <w:spacing w:after="0"/>
              <w:rPr>
                <w:sz w:val="20"/>
                <w:szCs w:val="20"/>
                <w:color w:val="auto"/>
              </w:rPr>
            </w:pPr>
            <w:r>
              <w:rPr>
                <w:rFonts w:ascii="Times New Roman" w:cs="Times New Roman" w:eastAsia="Times New Roman" w:hAnsi="Times New Roman"/>
                <w:sz w:val="12"/>
                <w:szCs w:val="12"/>
                <w:color w:val="auto"/>
              </w:rPr>
              <w:t>22,584,287</w:t>
            </w:r>
          </w:p>
        </w:tc>
        <w:tc>
          <w:tcPr>
            <w:tcW w:w="7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1,159,831</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121,833</w:t>
            </w:r>
          </w:p>
        </w:tc>
        <w:tc>
          <w:tcPr>
            <w:tcW w:w="1540" w:type="dxa"/>
            <w:vAlign w:val="bottom"/>
            <w:shd w:val="clear" w:color="auto" w:fill="CCEEFF"/>
          </w:tcPr>
          <w:p>
            <w:pPr>
              <w:spacing w:after="0"/>
              <w:rPr>
                <w:sz w:val="12"/>
                <w:szCs w:val="12"/>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3,137,471</w:t>
            </w:r>
          </w:p>
        </w:tc>
        <w:tc>
          <w:tcPr>
            <w:tcW w:w="800" w:type="dxa"/>
            <w:vAlign w:val="bottom"/>
            <w:shd w:val="clear" w:color="auto" w:fill="CCEEFF"/>
          </w:tcPr>
          <w:p>
            <w:pPr>
              <w:spacing w:after="0"/>
              <w:rPr>
                <w:sz w:val="12"/>
                <w:szCs w:val="12"/>
                <w:color w:val="auto"/>
              </w:rPr>
            </w:pPr>
          </w:p>
        </w:tc>
      </w:tr>
    </w:tbl>
    <w:p>
      <w:pPr>
        <w:spacing w:after="0" w:line="129" w:lineRule="exact"/>
        <w:rPr>
          <w:sz w:val="20"/>
          <w:szCs w:val="20"/>
          <w:color w:val="auto"/>
        </w:rPr>
      </w:pPr>
    </w:p>
    <w:p>
      <w:pPr>
        <w:ind w:left="640"/>
        <w:spacing w:after="0" w:line="286" w:lineRule="auto"/>
        <w:rPr>
          <w:sz w:val="20"/>
          <w:szCs w:val="20"/>
          <w:color w:val="auto"/>
        </w:rPr>
      </w:pPr>
      <w:r>
        <w:rPr>
          <w:rFonts w:ascii="Times New Roman" w:cs="Times New Roman" w:eastAsia="Times New Roman" w:hAnsi="Times New Roman"/>
          <w:sz w:val="12"/>
          <w:szCs w:val="12"/>
          <w:b w:val="1"/>
          <w:bCs w:val="1"/>
          <w:color w:val="auto"/>
        </w:rPr>
        <w:t>Proposal Number 3</w:t>
      </w:r>
      <w:r>
        <w:rPr>
          <w:rFonts w:ascii="Times New Roman" w:cs="Times New Roman" w:eastAsia="Times New Roman" w:hAnsi="Times New Roman"/>
          <w:sz w:val="12"/>
          <w:szCs w:val="12"/>
          <w:color w:val="auto"/>
        </w:rPr>
        <w:t>: To ratify the appointment of Deloitte &amp; Touche LLP as the Company’s independent registered public accounting firm for the fiscal year ending December 31, 2026. The proposal was approved by 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vote of the shareholders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8"/>
              </w:rPr>
              <w:t>Broker</w:t>
            </w:r>
          </w:p>
        </w:tc>
        <w:tc>
          <w:tcPr>
            <w:tcW w:w="0" w:type="dxa"/>
            <w:vAlign w:val="bottom"/>
          </w:tcPr>
          <w:p>
            <w:pPr>
              <w:spacing w:after="0"/>
              <w:rPr>
                <w:sz w:val="1"/>
                <w:szCs w:val="1"/>
                <w:color w:val="auto"/>
              </w:rPr>
            </w:pPr>
          </w:p>
        </w:tc>
      </w:tr>
      <w:tr>
        <w:trPr>
          <w:trHeight w:val="132"/>
        </w:trPr>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0" w:type="dxa"/>
            <w:vAlign w:val="bottom"/>
            <w:gridSpan w:val="2"/>
          </w:tcPr>
          <w:p>
            <w:pPr>
              <w:jc w:val="center"/>
              <w:ind w:right="1520"/>
              <w:spacing w:after="0" w:line="132" w:lineRule="exact"/>
              <w:rPr>
                <w:sz w:val="20"/>
                <w:szCs w:val="20"/>
                <w:color w:val="auto"/>
              </w:rPr>
            </w:pPr>
            <w:r>
              <w:rPr>
                <w:rFonts w:ascii="Times New Roman" w:cs="Times New Roman" w:eastAsia="Times New Roman" w:hAnsi="Times New Roman"/>
                <w:sz w:val="12"/>
                <w:szCs w:val="12"/>
                <w:b w:val="1"/>
                <w:bCs w:val="1"/>
                <w:color w:val="auto"/>
                <w:w w:val="95"/>
              </w:rPr>
              <w:t>Votes For</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8"/>
              </w:rPr>
              <w:t>Votes Against</w:t>
            </w:r>
          </w:p>
        </w:tc>
        <w:tc>
          <w:tcPr>
            <w:tcW w:w="2640" w:type="dxa"/>
            <w:vAlign w:val="bottom"/>
            <w:gridSpan w:val="3"/>
          </w:tcPr>
          <w:p>
            <w:pPr>
              <w:jc w:val="center"/>
              <w:ind w:left="480"/>
              <w:spacing w:after="0" w:line="132" w:lineRule="exact"/>
              <w:rPr>
                <w:sz w:val="20"/>
                <w:szCs w:val="20"/>
                <w:color w:val="auto"/>
              </w:rPr>
            </w:pPr>
            <w:r>
              <w:rPr>
                <w:rFonts w:ascii="Times New Roman" w:cs="Times New Roman" w:eastAsia="Times New Roman" w:hAnsi="Times New Roman"/>
                <w:sz w:val="12"/>
                <w:szCs w:val="12"/>
                <w:b w:val="1"/>
                <w:bCs w:val="1"/>
                <w:color w:val="auto"/>
              </w:rPr>
              <w:t>Abstentions</w:t>
            </w:r>
          </w:p>
        </w:tc>
        <w:tc>
          <w:tcPr>
            <w:tcW w:w="800" w:type="dxa"/>
            <w:vAlign w:val="bottom"/>
          </w:tcPr>
          <w:p>
            <w:pPr>
              <w:spacing w:after="0"/>
              <w:rPr>
                <w:sz w:val="11"/>
                <w:szCs w:val="11"/>
                <w:color w:val="auto"/>
              </w:rPr>
            </w:pPr>
          </w:p>
        </w:tc>
        <w:tc>
          <w:tcPr>
            <w:tcW w:w="1320" w:type="dxa"/>
            <w:vAlign w:val="bottom"/>
            <w:gridSpan w:val="2"/>
          </w:tcPr>
          <w:p>
            <w:pPr>
              <w:jc w:val="center"/>
              <w:ind w:right="800"/>
              <w:spacing w:after="0" w:line="132" w:lineRule="exact"/>
              <w:rPr>
                <w:sz w:val="20"/>
                <w:szCs w:val="20"/>
                <w:color w:val="auto"/>
              </w:rPr>
            </w:pPr>
            <w:r>
              <w:rPr>
                <w:rFonts w:ascii="Times New Roman" w:cs="Times New Roman" w:eastAsia="Times New Roman" w:hAnsi="Times New Roman"/>
                <w:sz w:val="12"/>
                <w:szCs w:val="12"/>
                <w:b w:val="1"/>
                <w:bCs w:val="1"/>
                <w:color w:val="auto"/>
                <w:w w:val="96"/>
              </w:rPr>
              <w:t>Non-Votes</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740" w:type="dxa"/>
            <w:vAlign w:val="bottom"/>
            <w:vMerge w:val="continue"/>
          </w:tcPr>
          <w:p>
            <w:pPr>
              <w:spacing w:after="0"/>
              <w:rPr>
                <w:sz w:val="12"/>
                <w:szCs w:val="12"/>
                <w:color w:val="auto"/>
              </w:rPr>
            </w:pPr>
          </w:p>
        </w:tc>
        <w:tc>
          <w:tcPr>
            <w:tcW w:w="2980" w:type="dxa"/>
            <w:vAlign w:val="bottom"/>
            <w:gridSpan w:val="3"/>
            <w:shd w:val="clear" w:color="auto" w:fill="CCEEFF"/>
          </w:tcPr>
          <w:p>
            <w:pPr>
              <w:jc w:val="right"/>
              <w:ind w:right="1500"/>
              <w:spacing w:after="0"/>
              <w:rPr>
                <w:sz w:val="20"/>
                <w:szCs w:val="20"/>
                <w:color w:val="auto"/>
              </w:rPr>
            </w:pPr>
            <w:r>
              <w:rPr>
                <w:rFonts w:ascii="Times New Roman" w:cs="Times New Roman" w:eastAsia="Times New Roman" w:hAnsi="Times New Roman"/>
                <w:sz w:val="12"/>
                <w:szCs w:val="12"/>
                <w:color w:val="auto"/>
              </w:rPr>
              <w:t>26,809,750</w:t>
            </w:r>
          </w:p>
        </w:tc>
        <w:tc>
          <w:tcPr>
            <w:tcW w:w="7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69,444</w:t>
            </w: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124,228</w:t>
            </w:r>
          </w:p>
        </w:tc>
        <w:tc>
          <w:tcPr>
            <w:tcW w:w="74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not applicable</w:t>
            </w:r>
          </w:p>
        </w:tc>
        <w:tc>
          <w:tcPr>
            <w:tcW w:w="0" w:type="dxa"/>
            <w:vAlign w:val="bottom"/>
          </w:tcPr>
          <w:p>
            <w:pPr>
              <w:spacing w:after="0"/>
              <w:rPr>
                <w:sz w:val="1"/>
                <w:szCs w:val="1"/>
                <w:color w:val="auto"/>
              </w:rPr>
            </w:pPr>
          </w:p>
        </w:tc>
      </w:tr>
      <w:tr>
        <w:trPr>
          <w:trHeight w:val="288"/>
        </w:trPr>
        <w:tc>
          <w:tcPr>
            <w:tcW w:w="372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tc>
        <w:tc>
          <w:tcPr>
            <w:tcW w:w="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On May 7, 2026, the Company presented additional background information on the Company and on its strategic plan (the “Shareholder Presentation”) during its Annual Meeting of Shareholders. A copy of the Shareholder Presentation is attached hereto as Exhibit 99.1, and is incorporated herein by reference. The information contained under this Item 7.01, including Exhibit 99.1, is being furnished and shall not be deemed to be “filed” for purposes of Section 18 of the Securities Exchange Act of 1934, as amended, nor shall it be deemed incorporated by reference in any filing under the Securities Act of 1933, as amended, except as shall be expressly stated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ind w:left="428" w:hanging="428"/>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220" w:type="dxa"/>
            <w:vAlign w:val="bottom"/>
          </w:tcPr>
          <w:p>
            <w:pPr>
              <w:spacing w:after="0"/>
              <w:rPr>
                <w:sz w:val="12"/>
                <w:szCs w:val="12"/>
                <w:color w:val="auto"/>
              </w:rPr>
            </w:pPr>
          </w:p>
        </w:tc>
        <w:tc>
          <w:tcPr>
            <w:tcW w:w="1044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Shareholder Presentation at the 2026 Annual Meeting of Shareholders</w:t>
            </w:r>
          </w:p>
        </w:tc>
      </w:tr>
      <w:tr>
        <w:trPr>
          <w:trHeight w:val="295"/>
        </w:trPr>
        <w:tc>
          <w:tcPr>
            <w:tcW w:w="64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tcPr>
          <w:p>
            <w:pPr>
              <w:spacing w:after="0"/>
              <w:rPr>
                <w:sz w:val="24"/>
                <w:szCs w:val="24"/>
                <w:color w:val="auto"/>
              </w:rPr>
            </w:pPr>
          </w:p>
        </w:tc>
        <w:tc>
          <w:tcPr>
            <w:tcW w:w="10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61"/>
        </w:trPr>
        <w:tc>
          <w:tcPr>
            <w:tcW w:w="4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40" w:type="dxa"/>
            <w:vAlign w:val="bottom"/>
            <w:tcBorders>
              <w:bottom w:val="single" w:sz="8" w:color="auto"/>
            </w:tcBorders>
          </w:tcPr>
          <w:p>
            <w:pPr>
              <w:spacing w:after="0"/>
              <w:rPr>
                <w:sz w:val="22"/>
                <w:szCs w:val="22"/>
                <w:color w:val="auto"/>
              </w:rPr>
            </w:pPr>
          </w:p>
        </w:tc>
      </w:tr>
    </w:tbl>
    <w:p>
      <w:pPr>
        <w:sectPr>
          <w:pgSz w:w="11900" w:h="16838" w:orient="portrait"/>
          <w:cols w:equalWidth="0" w:num="1">
            <w:col w:w="11308"/>
          </w:cols>
          <w:pgMar w:left="292" w:top="125"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LINCOLN EDUCATIONAL SERVICES CORPORATION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May 8, 2026</w:t>
      </w:r>
    </w:p>
    <w:p>
      <w:pPr>
        <w:spacing w:after="0" w:line="150" w:lineRule="exact"/>
        <w:rPr>
          <w:sz w:val="20"/>
          <w:szCs w:val="20"/>
          <w:color w:val="auto"/>
        </w:rPr>
      </w:pPr>
    </w:p>
    <w:p>
      <w:pPr>
        <w:ind w:left="4520"/>
        <w:spacing w:after="0"/>
        <w:tabs>
          <w:tab w:leader="none" w:pos="4840" w:val="left"/>
        </w:tabs>
        <w:rPr>
          <w:sz w:val="20"/>
          <w:szCs w:val="20"/>
          <w:color w:val="auto"/>
        </w:rPr>
      </w:pPr>
      <w:r>
        <w:rPr>
          <w:rFonts w:ascii="Times New Roman" w:cs="Times New Roman" w:eastAsia="Times New Roman" w:hAnsi="Times New Roman"/>
          <w:sz w:val="12"/>
          <w:szCs w:val="12"/>
          <w:color w:val="auto"/>
        </w:rPr>
        <w:t>By:</w:t>
        <w:tab/>
        <w:t>/s/ Alexandra M. Luster</w:t>
      </w:r>
    </w:p>
    <w:p>
      <w:pPr>
        <w:spacing w:after="0" w:line="2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Name: Alexandra M. Luster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-85725</wp:posOffset>
            </wp:positionV>
            <wp:extent cx="208026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80260" cy="11430"/>
                    </a:xfrm>
                    <a:prstGeom prst="rect">
                      <a:avLst/>
                    </a:prstGeom>
                    <a:noFill/>
                  </pic:spPr>
                </pic:pic>
              </a:graphicData>
            </a:graphic>
          </wp:anchor>
        </w:drawing>
      </w:r>
    </w:p>
    <w:p>
      <w:pPr>
        <w:ind w:left="4520"/>
        <w:spacing w:after="0"/>
        <w:tabs>
          <w:tab w:leader="none" w:pos="488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1"/>
          <w:szCs w:val="11"/>
          <w:color w:val="auto"/>
        </w:rPr>
        <w:t>SVP,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226695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 w:name="page5"/>
    <w:bookmarkEnd w:id="4"/>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2976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0" w:num="1">
            <w:col w:w="10160"/>
          </w:cols>
          <w:pgMar w:left="1440" w:top="224"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54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548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2026-05-11T05:14:41Z</dcterms:created>
  <dcterms:modified xsi:type="dcterms:W3CDTF">2026-05-11T05:14:41Z</dcterms:modified>
</cp:coreProperties>
</file>