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13d-101)</w:t>
      </w:r>
    </w:p>
    <w:p>
      <w:pPr>
        <w:spacing w:after="0" w:line="207"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RULE 13d-1(a) AND AMENDMENTS THERETO FILED PURSUANT TO RULE 13d-2(a)</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Lincoln Educational Services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no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533535100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Justyn R. Putnam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Managing Member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TALANTA Investment Group,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525 N. Tryon Street, 16th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Charlotte, NC 28202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(704) 904-1450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a copy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Derek D. Bork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Thompson Hine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3900 Key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127 Public Square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Cleveland, Ohio 44114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(216) 566-5500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 Address and Telephone Number of Person Authorized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 240.13d-7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CUSIP NO. 533535100</w:t>
            </w:r>
          </w:p>
        </w:tc>
        <w:tc>
          <w:tcPr>
            <w:tcW w:w="2040" w:type="dxa"/>
            <w:vAlign w:val="bottom"/>
          </w:tcPr>
          <w:p>
            <w:pPr>
              <w:ind w:left="1740"/>
              <w:spacing w:after="0"/>
              <w:rPr>
                <w:sz w:val="20"/>
                <w:szCs w:val="20"/>
                <w:color w:val="auto"/>
              </w:rPr>
            </w:pPr>
            <w:r>
              <w:rPr>
                <w:rFonts w:ascii="Arial" w:cs="Arial" w:eastAsia="Arial" w:hAnsi="Arial"/>
                <w:sz w:val="18"/>
                <w:szCs w:val="18"/>
                <w:b w:val="1"/>
                <w:bCs w:val="1"/>
                <w:color w:val="auto"/>
                <w:w w:val="84"/>
              </w:rPr>
              <w:t>13D</w:t>
            </w:r>
          </w:p>
        </w:tc>
      </w:tr>
    </w:tbl>
    <w:p>
      <w:pPr>
        <w:spacing w:after="0" w:line="215" w:lineRule="exact"/>
        <w:rPr>
          <w:sz w:val="20"/>
          <w:szCs w:val="20"/>
          <w:color w:val="auto"/>
        </w:rPr>
      </w:pPr>
    </w:p>
    <w:p>
      <w:pPr>
        <w:ind w:left="640" w:hanging="565"/>
        <w:spacing w:after="0"/>
        <w:tabs>
          <w:tab w:leader="none" w:pos="6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TALANTA INVESTMENT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6986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986270"/>
                    </a:xfrm>
                    <a:prstGeom prst="rect">
                      <a:avLst/>
                    </a:prstGeom>
                    <a:noFill/>
                  </pic:spPr>
                </pic:pic>
              </a:graphicData>
            </a:graphic>
          </wp:anchor>
        </w:drawing>
      </w:r>
    </w:p>
    <w:p>
      <w:pPr>
        <w:spacing w:after="0" w:line="223" w:lineRule="exact"/>
        <w:rPr>
          <w:sz w:val="20"/>
          <w:szCs w:val="20"/>
          <w:color w:val="auto"/>
        </w:rPr>
      </w:pPr>
    </w:p>
    <w:p>
      <w:pPr>
        <w:ind w:left="640" w:hanging="565"/>
        <w:spacing w:after="0"/>
        <w:tabs>
          <w:tab w:leader="none" w:pos="6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00" w:lineRule="exact"/>
        <w:rPr>
          <w:sz w:val="20"/>
          <w:szCs w:val="20"/>
          <w:color w:val="auto"/>
        </w:rPr>
      </w:pPr>
    </w:p>
    <w:p>
      <w:pPr>
        <w:spacing w:after="0" w:line="255" w:lineRule="exact"/>
        <w:rPr>
          <w:sz w:val="20"/>
          <w:szCs w:val="20"/>
          <w:color w:val="auto"/>
        </w:rPr>
      </w:pPr>
    </w:p>
    <w:p>
      <w:pPr>
        <w:ind w:left="640" w:hanging="565"/>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640" w:hanging="565"/>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 AF</w:t>
      </w:r>
    </w:p>
    <w:p>
      <w:pPr>
        <w:spacing w:after="0" w:line="243" w:lineRule="exact"/>
        <w:rPr>
          <w:sz w:val="20"/>
          <w:szCs w:val="20"/>
          <w:color w:val="auto"/>
        </w:rPr>
      </w:pPr>
    </w:p>
    <w:p>
      <w:pPr>
        <w:ind w:left="640" w:right="2580" w:hanging="565"/>
        <w:spacing w:after="0" w:line="233" w:lineRule="exact"/>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196" w:lineRule="exact"/>
        <w:rPr>
          <w:sz w:val="20"/>
          <w:szCs w:val="20"/>
          <w:color w:val="auto"/>
        </w:rPr>
      </w:pPr>
    </w:p>
    <w:p>
      <w:pPr>
        <w:ind w:left="640" w:hanging="565"/>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DELAWARE</w:t>
      </w:r>
    </w:p>
    <w:p>
      <w:pPr>
        <w:spacing w:after="0" w:line="238" w:lineRule="exact"/>
        <w:rPr>
          <w:rFonts w:ascii="Arial" w:cs="Arial" w:eastAsia="Arial" w:hAnsi="Arial"/>
          <w:sz w:val="18"/>
          <w:szCs w:val="18"/>
          <w:b w:val="1"/>
          <w:bCs w:val="1"/>
          <w:color w:val="auto"/>
        </w:rPr>
      </w:pPr>
    </w:p>
    <w:p>
      <w:pPr>
        <w:ind w:left="1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w:t>
      </w:r>
      <w:r>
        <w:rPr>
          <w:rFonts w:ascii="Arial" w:cs="Arial" w:eastAsia="Arial" w:hAnsi="Arial"/>
          <w:sz w:val="16"/>
          <w:szCs w:val="16"/>
          <w:color w:val="auto"/>
        </w:rPr>
        <w:t>SOLE VOTING POWER</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20" w:type="dxa"/>
            <w:vAlign w:val="bottom"/>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446"/>
        </w:trPr>
        <w:tc>
          <w:tcPr>
            <w:tcW w:w="1420" w:type="dxa"/>
            <w:vAlign w:val="bottom"/>
            <w:vMerge w:val="restart"/>
          </w:tcPr>
          <w:p>
            <w:pPr>
              <w:jc w:val="center"/>
              <w:ind w:right="50"/>
              <w:spacing w:after="0"/>
              <w:rPr>
                <w:sz w:val="20"/>
                <w:szCs w:val="20"/>
                <w:color w:val="auto"/>
              </w:rPr>
            </w:pPr>
            <w:r>
              <w:rPr>
                <w:rFonts w:ascii="Arial" w:cs="Arial" w:eastAsia="Arial" w:hAnsi="Arial"/>
                <w:sz w:val="18"/>
                <w:szCs w:val="18"/>
                <w:color w:val="auto"/>
                <w:w w:val="96"/>
              </w:rPr>
              <w:t>NUMBER OF</w:t>
            </w:r>
          </w:p>
        </w:tc>
        <w:tc>
          <w:tcPr>
            <w:tcW w:w="500" w:type="dxa"/>
            <w:vAlign w:val="bottom"/>
          </w:tcPr>
          <w:p>
            <w:pPr>
              <w:ind w:left="140"/>
              <w:spacing w:after="0"/>
              <w:rPr>
                <w:sz w:val="20"/>
                <w:szCs w:val="20"/>
                <w:color w:val="auto"/>
              </w:rPr>
            </w:pPr>
            <w:r>
              <w:rPr>
                <w:rFonts w:ascii="Arial" w:cs="Arial" w:eastAsia="Arial" w:hAnsi="Arial"/>
                <w:sz w:val="18"/>
                <w:szCs w:val="18"/>
                <w:b w:val="1"/>
                <w:bCs w:val="1"/>
                <w:color w:val="auto"/>
              </w:rPr>
              <w:t>8</w:t>
            </w:r>
          </w:p>
        </w:tc>
        <w:tc>
          <w:tcPr>
            <w:tcW w:w="272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14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0"/>
              <w:spacing w:after="0"/>
              <w:rPr>
                <w:sz w:val="20"/>
                <w:szCs w:val="20"/>
                <w:color w:val="auto"/>
              </w:rPr>
            </w:pPr>
            <w:r>
              <w:rPr>
                <w:rFonts w:ascii="Arial" w:cs="Arial" w:eastAsia="Arial" w:hAnsi="Arial"/>
                <w:sz w:val="18"/>
                <w:szCs w:val="18"/>
                <w:color w:val="auto"/>
                <w:w w:val="94"/>
              </w:rPr>
              <w:t>SHARES</w:t>
            </w:r>
          </w:p>
        </w:tc>
        <w:tc>
          <w:tcPr>
            <w:tcW w:w="500" w:type="dxa"/>
            <w:vAlign w:val="bottom"/>
          </w:tcPr>
          <w:p>
            <w:pPr>
              <w:spacing w:after="0"/>
              <w:rPr>
                <w:sz w:val="18"/>
                <w:szCs w:val="18"/>
                <w:color w:val="auto"/>
              </w:rPr>
            </w:pPr>
          </w:p>
        </w:tc>
        <w:tc>
          <w:tcPr>
            <w:tcW w:w="27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1,880,319*</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ind w:right="50"/>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50"/>
              <w:spacing w:after="0"/>
              <w:rPr>
                <w:sz w:val="20"/>
                <w:szCs w:val="20"/>
                <w:color w:val="auto"/>
              </w:rPr>
            </w:pPr>
            <w:r>
              <w:rPr>
                <w:rFonts w:ascii="Arial" w:cs="Arial" w:eastAsia="Arial" w:hAnsi="Arial"/>
                <w:sz w:val="18"/>
                <w:szCs w:val="18"/>
                <w:color w:val="auto"/>
                <w:w w:val="97"/>
              </w:rPr>
              <w:t>OWNED BY</w:t>
            </w:r>
          </w:p>
        </w:tc>
        <w:tc>
          <w:tcPr>
            <w:tcW w:w="5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9</w:t>
            </w:r>
          </w:p>
        </w:tc>
        <w:tc>
          <w:tcPr>
            <w:tcW w:w="27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42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EACH</w:t>
            </w:r>
          </w:p>
        </w:tc>
        <w:tc>
          <w:tcPr>
            <w:tcW w:w="500" w:type="dxa"/>
            <w:vAlign w:val="bottom"/>
            <w:vMerge w:val="continue"/>
          </w:tcPr>
          <w:p>
            <w:pPr>
              <w:spacing w:after="0"/>
              <w:rPr>
                <w:sz w:val="11"/>
                <w:szCs w:val="11"/>
                <w:color w:val="auto"/>
              </w:rPr>
            </w:pPr>
          </w:p>
        </w:tc>
        <w:tc>
          <w:tcPr>
            <w:tcW w:w="2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4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90"/>
              <w:spacing w:after="0"/>
              <w:rPr>
                <w:sz w:val="20"/>
                <w:szCs w:val="20"/>
                <w:color w:val="auto"/>
              </w:rPr>
            </w:pPr>
            <w:r>
              <w:rPr>
                <w:rFonts w:ascii="Arial" w:cs="Arial" w:eastAsia="Arial" w:hAnsi="Arial"/>
                <w:sz w:val="18"/>
                <w:szCs w:val="18"/>
                <w:color w:val="auto"/>
                <w:w w:val="93"/>
              </w:rPr>
              <w:t>REPORTING</w:t>
            </w:r>
          </w:p>
        </w:tc>
        <w:tc>
          <w:tcPr>
            <w:tcW w:w="500" w:type="dxa"/>
            <w:vAlign w:val="bottom"/>
          </w:tcPr>
          <w:p>
            <w:pPr>
              <w:spacing w:after="0"/>
              <w:rPr>
                <w:sz w:val="18"/>
                <w:szCs w:val="18"/>
                <w:color w:val="auto"/>
              </w:rPr>
            </w:pPr>
          </w:p>
        </w:tc>
        <w:tc>
          <w:tcPr>
            <w:tcW w:w="27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36"/>
        </w:trPr>
        <w:tc>
          <w:tcPr>
            <w:tcW w:w="1420" w:type="dxa"/>
            <w:vAlign w:val="bottom"/>
            <w:vMerge w:val="restart"/>
          </w:tcPr>
          <w:p>
            <w:pPr>
              <w:jc w:val="center"/>
              <w:ind w:right="50"/>
              <w:spacing w:after="0"/>
              <w:rPr>
                <w:sz w:val="20"/>
                <w:szCs w:val="20"/>
                <w:color w:val="auto"/>
              </w:rPr>
            </w:pPr>
            <w:r>
              <w:rPr>
                <w:rFonts w:ascii="Arial" w:cs="Arial" w:eastAsia="Arial" w:hAnsi="Arial"/>
                <w:sz w:val="18"/>
                <w:szCs w:val="18"/>
                <w:color w:val="auto"/>
                <w:w w:val="94"/>
              </w:rPr>
              <w:t>PERSON WITH</w:t>
            </w:r>
          </w:p>
        </w:tc>
        <w:tc>
          <w:tcPr>
            <w:tcW w:w="500" w:type="dxa"/>
            <w:vAlign w:val="bottom"/>
          </w:tcPr>
          <w:p>
            <w:pPr>
              <w:spacing w:after="0"/>
              <w:rPr>
                <w:sz w:val="11"/>
                <w:szCs w:val="11"/>
                <w:color w:val="auto"/>
              </w:rPr>
            </w:pPr>
          </w:p>
        </w:tc>
        <w:tc>
          <w:tcPr>
            <w:tcW w:w="2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4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1"/>
        </w:trPr>
        <w:tc>
          <w:tcPr>
            <w:tcW w:w="1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8"/>
                <w:szCs w:val="18"/>
                <w:b w:val="1"/>
                <w:bCs w:val="1"/>
                <w:color w:val="auto"/>
              </w:rPr>
              <w:t>10</w:t>
            </w:r>
          </w:p>
        </w:tc>
        <w:tc>
          <w:tcPr>
            <w:tcW w:w="2720" w:type="dxa"/>
            <w:vAlign w:val="bottom"/>
          </w:tcPr>
          <w:p>
            <w:pPr>
              <w:ind w:left="200"/>
              <w:spacing w:after="0"/>
              <w:rPr>
                <w:sz w:val="20"/>
                <w:szCs w:val="20"/>
                <w:color w:val="auto"/>
              </w:rPr>
            </w:pPr>
            <w:r>
              <w:rPr>
                <w:rFonts w:ascii="Arial" w:cs="Arial" w:eastAsia="Arial" w:hAnsi="Arial"/>
                <w:sz w:val="18"/>
                <w:szCs w:val="18"/>
                <w:color w:val="auto"/>
                <w:w w:val="93"/>
              </w:rPr>
              <w:t>SHARED DISPOSITIVE POWER</w:t>
            </w: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20" w:type="dxa"/>
            <w:vAlign w:val="bottom"/>
          </w:tcPr>
          <w:p>
            <w:pPr>
              <w:ind w:left="200"/>
              <w:spacing w:after="0"/>
              <w:rPr>
                <w:sz w:val="20"/>
                <w:szCs w:val="20"/>
                <w:color w:val="auto"/>
              </w:rPr>
            </w:pPr>
            <w:r>
              <w:rPr>
                <w:rFonts w:ascii="Arial" w:cs="Arial" w:eastAsia="Arial" w:hAnsi="Arial"/>
                <w:sz w:val="18"/>
                <w:szCs w:val="18"/>
                <w:b w:val="1"/>
                <w:bCs w:val="1"/>
                <w:color w:val="auto"/>
              </w:rPr>
              <w:t>1,880,319*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-2001520</wp:posOffset>
            </wp:positionH>
            <wp:positionV relativeFrom="paragraph">
              <wp:posOffset>-108585</wp:posOffset>
            </wp:positionV>
            <wp:extent cx="23571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571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 w:hanging="254"/>
        <w:spacing w:after="0" w:line="184" w:lineRule="exact"/>
        <w:tabs>
          <w:tab w:leader="none" w:pos="340" w:val="left"/>
        </w:tabs>
        <w:numPr>
          <w:ilvl w:val="0"/>
          <w:numId w:val="7"/>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80" w:lineRule="exact"/>
        <w:rPr>
          <w:rFonts w:ascii="Arial" w:cs="Arial" w:eastAsia="Arial" w:hAnsi="Arial"/>
          <w:sz w:val="16"/>
          <w:szCs w:val="16"/>
          <w:color w:val="auto"/>
        </w:rPr>
      </w:pPr>
    </w:p>
    <w:p>
      <w:pPr>
        <w:ind w:left="340" w:hanging="264"/>
        <w:spacing w:after="0" w:line="184" w:lineRule="exact"/>
        <w:tabs>
          <w:tab w:leader="none" w:pos="340" w:val="left"/>
        </w:tabs>
        <w:numPr>
          <w:ilvl w:val="0"/>
          <w:numId w:val="7"/>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6386" w:lineRule="exact"/>
        <w:rPr>
          <w:sz w:val="20"/>
          <w:szCs w:val="20"/>
          <w:color w:val="auto"/>
        </w:rPr>
      </w:pPr>
    </w:p>
    <w:p>
      <w:pPr>
        <w:sectPr>
          <w:pgSz w:w="11900" w:h="16838" w:orient="portrait"/>
          <w:cols w:equalWidth="0" w:num="2">
            <w:col w:w="9960" w:space="720"/>
            <w:col w:w="540"/>
          </w:cols>
          <w:pgMar w:left="320" w:top="903" w:right="359" w:bottom="1440" w:gutter="0" w:footer="0" w:header="0"/>
        </w:sectPr>
      </w:pPr>
    </w:p>
    <w:p>
      <w:pPr>
        <w:spacing w:after="0" w:line="15" w:lineRule="exact"/>
        <w:rPr>
          <w:sz w:val="20"/>
          <w:szCs w:val="20"/>
          <w:color w:val="auto"/>
        </w:rPr>
      </w:pPr>
    </w:p>
    <w:p>
      <w:pPr>
        <w:ind w:left="640" w:hanging="565"/>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1,880,319*</w:t>
      </w:r>
    </w:p>
    <w:p>
      <w:pPr>
        <w:spacing w:after="0" w:line="242" w:lineRule="exact"/>
        <w:rPr>
          <w:rFonts w:ascii="Arial" w:cs="Arial" w:eastAsia="Arial" w:hAnsi="Arial"/>
          <w:sz w:val="18"/>
          <w:szCs w:val="18"/>
          <w:b w:val="1"/>
          <w:bCs w:val="1"/>
          <w:color w:val="auto"/>
        </w:rPr>
      </w:pPr>
    </w:p>
    <w:p>
      <w:pPr>
        <w:ind w:left="640" w:hanging="565"/>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w:t>
      </w:r>
    </w:p>
    <w:p>
      <w:pPr>
        <w:spacing w:after="0" w:line="18" w:lineRule="exact"/>
        <w:rPr>
          <w:sz w:val="20"/>
          <w:szCs w:val="20"/>
          <w:color w:val="auto"/>
        </w:rPr>
      </w:pPr>
    </w:p>
    <w:p>
      <w:pPr>
        <w:ind w:left="10860"/>
        <w:spacing w:after="0" w:line="181" w:lineRule="exact"/>
        <w:rPr>
          <w:sz w:val="20"/>
          <w:szCs w:val="20"/>
          <w:color w:val="auto"/>
        </w:rPr>
      </w:pPr>
      <w:r>
        <w:rPr>
          <w:rFonts w:ascii="MS PGothic" w:cs="MS PGothic" w:eastAsia="MS PGothic" w:hAnsi="MS PGothic"/>
          <w:sz w:val="18"/>
          <w:szCs w:val="18"/>
          <w:color w:val="auto"/>
        </w:rPr>
        <w:t>☐</w:t>
      </w:r>
    </w:p>
    <w:p>
      <w:pPr>
        <w:spacing w:after="0" w:line="256" w:lineRule="exact"/>
        <w:rPr>
          <w:sz w:val="20"/>
          <w:szCs w:val="20"/>
          <w:color w:val="auto"/>
        </w:rPr>
      </w:pPr>
    </w:p>
    <w:p>
      <w:pPr>
        <w:ind w:left="640" w:hanging="565"/>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6.8%**</w:t>
      </w:r>
    </w:p>
    <w:p>
      <w:pPr>
        <w:spacing w:after="0" w:line="242" w:lineRule="exact"/>
        <w:rPr>
          <w:rFonts w:ascii="Arial" w:cs="Arial" w:eastAsia="Arial" w:hAnsi="Arial"/>
          <w:sz w:val="18"/>
          <w:szCs w:val="18"/>
          <w:b w:val="1"/>
          <w:bCs w:val="1"/>
          <w:color w:val="auto"/>
        </w:rPr>
      </w:pPr>
    </w:p>
    <w:p>
      <w:pPr>
        <w:ind w:left="640" w:hanging="565"/>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ind w:firstLine="8"/>
        <w:spacing w:after="0" w:line="260" w:lineRule="auto"/>
        <w:tabs>
          <w:tab w:leader="none" w:pos="1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635,593 shares of Common Stock issuable upon the conversion of Series A Preferred Stock, which is convertible into Common Stock at any time at the option of the holder. Does not include dividends.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Assumes the conversion of the Series A Preferred Stock into Common Stock. Does not include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3" w:right="359" w:bottom="1440" w:gutter="0" w:footer="0" w:header="0"/>
          <w:type w:val="continuous"/>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CUSIP NO. 533535100</w:t>
            </w:r>
          </w:p>
        </w:tc>
        <w:tc>
          <w:tcPr>
            <w:tcW w:w="2040" w:type="dxa"/>
            <w:vAlign w:val="bottom"/>
          </w:tcPr>
          <w:p>
            <w:pPr>
              <w:ind w:left="1740"/>
              <w:spacing w:after="0"/>
              <w:rPr>
                <w:sz w:val="20"/>
                <w:szCs w:val="20"/>
                <w:color w:val="auto"/>
              </w:rPr>
            </w:pPr>
            <w:r>
              <w:rPr>
                <w:rFonts w:ascii="Arial" w:cs="Arial" w:eastAsia="Arial" w:hAnsi="Arial"/>
                <w:sz w:val="18"/>
                <w:szCs w:val="18"/>
                <w:b w:val="1"/>
                <w:bCs w:val="1"/>
                <w:color w:val="auto"/>
                <w:w w:val="84"/>
              </w:rPr>
              <w:t>13D</w:t>
            </w:r>
          </w:p>
        </w:tc>
      </w:tr>
    </w:tbl>
    <w:p>
      <w:pPr>
        <w:spacing w:after="0" w:line="215" w:lineRule="exact"/>
        <w:rPr>
          <w:sz w:val="20"/>
          <w:szCs w:val="20"/>
          <w:color w:val="auto"/>
        </w:rPr>
      </w:pPr>
    </w:p>
    <w:p>
      <w:pPr>
        <w:ind w:left="640" w:hanging="565"/>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TALANTA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6986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986270"/>
                    </a:xfrm>
                    <a:prstGeom prst="rect">
                      <a:avLst/>
                    </a:prstGeom>
                    <a:noFill/>
                  </pic:spPr>
                </pic:pic>
              </a:graphicData>
            </a:graphic>
          </wp:anchor>
        </w:drawing>
      </w:r>
    </w:p>
    <w:p>
      <w:pPr>
        <w:spacing w:after="0" w:line="223" w:lineRule="exact"/>
        <w:rPr>
          <w:sz w:val="20"/>
          <w:szCs w:val="20"/>
          <w:color w:val="auto"/>
        </w:rPr>
      </w:pPr>
    </w:p>
    <w:p>
      <w:pPr>
        <w:ind w:left="640" w:hanging="565"/>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00" w:lineRule="exact"/>
        <w:rPr>
          <w:sz w:val="20"/>
          <w:szCs w:val="20"/>
          <w:color w:val="auto"/>
        </w:rPr>
      </w:pPr>
    </w:p>
    <w:p>
      <w:pPr>
        <w:spacing w:after="0" w:line="255" w:lineRule="exact"/>
        <w:rPr>
          <w:sz w:val="20"/>
          <w:szCs w:val="20"/>
          <w:color w:val="auto"/>
        </w:rPr>
      </w:pPr>
    </w:p>
    <w:p>
      <w:pPr>
        <w:ind w:left="640" w:hanging="565"/>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640" w:hanging="565"/>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WC</w:t>
      </w:r>
    </w:p>
    <w:p>
      <w:pPr>
        <w:spacing w:after="0" w:line="243" w:lineRule="exact"/>
        <w:rPr>
          <w:sz w:val="20"/>
          <w:szCs w:val="20"/>
          <w:color w:val="auto"/>
        </w:rPr>
      </w:pPr>
    </w:p>
    <w:p>
      <w:pPr>
        <w:ind w:left="640" w:right="2580" w:hanging="565"/>
        <w:spacing w:after="0" w:line="233" w:lineRule="exact"/>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196" w:lineRule="exact"/>
        <w:rPr>
          <w:sz w:val="20"/>
          <w:szCs w:val="20"/>
          <w:color w:val="auto"/>
        </w:rPr>
      </w:pPr>
    </w:p>
    <w:p>
      <w:pPr>
        <w:ind w:left="640" w:hanging="565"/>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DELAWARE</w:t>
      </w:r>
    </w:p>
    <w:p>
      <w:pPr>
        <w:spacing w:after="0" w:line="238" w:lineRule="exact"/>
        <w:rPr>
          <w:rFonts w:ascii="Arial" w:cs="Arial" w:eastAsia="Arial" w:hAnsi="Arial"/>
          <w:sz w:val="18"/>
          <w:szCs w:val="18"/>
          <w:b w:val="1"/>
          <w:bCs w:val="1"/>
          <w:color w:val="auto"/>
        </w:rPr>
      </w:pPr>
    </w:p>
    <w:p>
      <w:pPr>
        <w:ind w:left="1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w:t>
      </w:r>
      <w:r>
        <w:rPr>
          <w:rFonts w:ascii="Arial" w:cs="Arial" w:eastAsia="Arial" w:hAnsi="Arial"/>
          <w:sz w:val="16"/>
          <w:szCs w:val="16"/>
          <w:color w:val="auto"/>
        </w:rPr>
        <w:t>SOLE VOTING POWER</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20" w:type="dxa"/>
            <w:vAlign w:val="bottom"/>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446"/>
        </w:trPr>
        <w:tc>
          <w:tcPr>
            <w:tcW w:w="1420" w:type="dxa"/>
            <w:vAlign w:val="bottom"/>
            <w:vMerge w:val="restart"/>
          </w:tcPr>
          <w:p>
            <w:pPr>
              <w:jc w:val="center"/>
              <w:ind w:right="50"/>
              <w:spacing w:after="0"/>
              <w:rPr>
                <w:sz w:val="20"/>
                <w:szCs w:val="20"/>
                <w:color w:val="auto"/>
              </w:rPr>
            </w:pPr>
            <w:r>
              <w:rPr>
                <w:rFonts w:ascii="Arial" w:cs="Arial" w:eastAsia="Arial" w:hAnsi="Arial"/>
                <w:sz w:val="18"/>
                <w:szCs w:val="18"/>
                <w:color w:val="auto"/>
                <w:w w:val="96"/>
              </w:rPr>
              <w:t>NUMBER OF</w:t>
            </w:r>
          </w:p>
        </w:tc>
        <w:tc>
          <w:tcPr>
            <w:tcW w:w="500" w:type="dxa"/>
            <w:vAlign w:val="bottom"/>
          </w:tcPr>
          <w:p>
            <w:pPr>
              <w:ind w:left="140"/>
              <w:spacing w:after="0"/>
              <w:rPr>
                <w:sz w:val="20"/>
                <w:szCs w:val="20"/>
                <w:color w:val="auto"/>
              </w:rPr>
            </w:pPr>
            <w:r>
              <w:rPr>
                <w:rFonts w:ascii="Arial" w:cs="Arial" w:eastAsia="Arial" w:hAnsi="Arial"/>
                <w:sz w:val="18"/>
                <w:szCs w:val="18"/>
                <w:b w:val="1"/>
                <w:bCs w:val="1"/>
                <w:color w:val="auto"/>
              </w:rPr>
              <w:t>8</w:t>
            </w:r>
          </w:p>
        </w:tc>
        <w:tc>
          <w:tcPr>
            <w:tcW w:w="272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14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0"/>
              <w:spacing w:after="0"/>
              <w:rPr>
                <w:sz w:val="20"/>
                <w:szCs w:val="20"/>
                <w:color w:val="auto"/>
              </w:rPr>
            </w:pPr>
            <w:r>
              <w:rPr>
                <w:rFonts w:ascii="Arial" w:cs="Arial" w:eastAsia="Arial" w:hAnsi="Arial"/>
                <w:sz w:val="18"/>
                <w:szCs w:val="18"/>
                <w:color w:val="auto"/>
                <w:w w:val="94"/>
              </w:rPr>
              <w:t>SHARES</w:t>
            </w:r>
          </w:p>
        </w:tc>
        <w:tc>
          <w:tcPr>
            <w:tcW w:w="500" w:type="dxa"/>
            <w:vAlign w:val="bottom"/>
          </w:tcPr>
          <w:p>
            <w:pPr>
              <w:spacing w:after="0"/>
              <w:rPr>
                <w:sz w:val="18"/>
                <w:szCs w:val="18"/>
                <w:color w:val="auto"/>
              </w:rPr>
            </w:pPr>
          </w:p>
        </w:tc>
        <w:tc>
          <w:tcPr>
            <w:tcW w:w="27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1,880,319*</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ind w:right="50"/>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50"/>
              <w:spacing w:after="0"/>
              <w:rPr>
                <w:sz w:val="20"/>
                <w:szCs w:val="20"/>
                <w:color w:val="auto"/>
              </w:rPr>
            </w:pPr>
            <w:r>
              <w:rPr>
                <w:rFonts w:ascii="Arial" w:cs="Arial" w:eastAsia="Arial" w:hAnsi="Arial"/>
                <w:sz w:val="18"/>
                <w:szCs w:val="18"/>
                <w:color w:val="auto"/>
                <w:w w:val="97"/>
              </w:rPr>
              <w:t>OWNED BY</w:t>
            </w:r>
          </w:p>
        </w:tc>
        <w:tc>
          <w:tcPr>
            <w:tcW w:w="5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9</w:t>
            </w:r>
          </w:p>
        </w:tc>
        <w:tc>
          <w:tcPr>
            <w:tcW w:w="27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42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EACH</w:t>
            </w:r>
          </w:p>
        </w:tc>
        <w:tc>
          <w:tcPr>
            <w:tcW w:w="500" w:type="dxa"/>
            <w:vAlign w:val="bottom"/>
            <w:vMerge w:val="continue"/>
          </w:tcPr>
          <w:p>
            <w:pPr>
              <w:spacing w:after="0"/>
              <w:rPr>
                <w:sz w:val="11"/>
                <w:szCs w:val="11"/>
                <w:color w:val="auto"/>
              </w:rPr>
            </w:pPr>
          </w:p>
        </w:tc>
        <w:tc>
          <w:tcPr>
            <w:tcW w:w="2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4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50"/>
              <w:spacing w:after="0"/>
              <w:rPr>
                <w:sz w:val="20"/>
                <w:szCs w:val="20"/>
                <w:color w:val="auto"/>
              </w:rPr>
            </w:pPr>
            <w:r>
              <w:rPr>
                <w:rFonts w:ascii="Arial" w:cs="Arial" w:eastAsia="Arial" w:hAnsi="Arial"/>
                <w:sz w:val="18"/>
                <w:szCs w:val="18"/>
                <w:color w:val="auto"/>
                <w:w w:val="93"/>
              </w:rPr>
              <w:t>REPORTING</w:t>
            </w:r>
          </w:p>
        </w:tc>
        <w:tc>
          <w:tcPr>
            <w:tcW w:w="500" w:type="dxa"/>
            <w:vAlign w:val="bottom"/>
          </w:tcPr>
          <w:p>
            <w:pPr>
              <w:spacing w:after="0"/>
              <w:rPr>
                <w:sz w:val="18"/>
                <w:szCs w:val="18"/>
                <w:color w:val="auto"/>
              </w:rPr>
            </w:pPr>
          </w:p>
        </w:tc>
        <w:tc>
          <w:tcPr>
            <w:tcW w:w="27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36"/>
        </w:trPr>
        <w:tc>
          <w:tcPr>
            <w:tcW w:w="1420" w:type="dxa"/>
            <w:vAlign w:val="bottom"/>
            <w:vMerge w:val="restart"/>
          </w:tcPr>
          <w:p>
            <w:pPr>
              <w:jc w:val="center"/>
              <w:ind w:right="50"/>
              <w:spacing w:after="0"/>
              <w:rPr>
                <w:sz w:val="20"/>
                <w:szCs w:val="20"/>
                <w:color w:val="auto"/>
              </w:rPr>
            </w:pPr>
            <w:r>
              <w:rPr>
                <w:rFonts w:ascii="Arial" w:cs="Arial" w:eastAsia="Arial" w:hAnsi="Arial"/>
                <w:sz w:val="18"/>
                <w:szCs w:val="18"/>
                <w:color w:val="auto"/>
                <w:w w:val="94"/>
              </w:rPr>
              <w:t>PERSON WITH</w:t>
            </w:r>
          </w:p>
        </w:tc>
        <w:tc>
          <w:tcPr>
            <w:tcW w:w="500" w:type="dxa"/>
            <w:vAlign w:val="bottom"/>
          </w:tcPr>
          <w:p>
            <w:pPr>
              <w:spacing w:after="0"/>
              <w:rPr>
                <w:sz w:val="11"/>
                <w:szCs w:val="11"/>
                <w:color w:val="auto"/>
              </w:rPr>
            </w:pPr>
          </w:p>
        </w:tc>
        <w:tc>
          <w:tcPr>
            <w:tcW w:w="2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4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1"/>
        </w:trPr>
        <w:tc>
          <w:tcPr>
            <w:tcW w:w="14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8"/>
                <w:szCs w:val="18"/>
                <w:b w:val="1"/>
                <w:bCs w:val="1"/>
                <w:color w:val="auto"/>
              </w:rPr>
              <w:t>10</w:t>
            </w:r>
          </w:p>
        </w:tc>
        <w:tc>
          <w:tcPr>
            <w:tcW w:w="2720" w:type="dxa"/>
            <w:vAlign w:val="bottom"/>
          </w:tcPr>
          <w:p>
            <w:pPr>
              <w:ind w:left="200"/>
              <w:spacing w:after="0"/>
              <w:rPr>
                <w:sz w:val="20"/>
                <w:szCs w:val="20"/>
                <w:color w:val="auto"/>
              </w:rPr>
            </w:pPr>
            <w:r>
              <w:rPr>
                <w:rFonts w:ascii="Arial" w:cs="Arial" w:eastAsia="Arial" w:hAnsi="Arial"/>
                <w:sz w:val="18"/>
                <w:szCs w:val="18"/>
                <w:color w:val="auto"/>
                <w:w w:val="93"/>
              </w:rPr>
              <w:t>SHARED DISPOSITIVE POWER</w:t>
            </w: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20" w:type="dxa"/>
            <w:vAlign w:val="bottom"/>
          </w:tcPr>
          <w:p>
            <w:pPr>
              <w:ind w:left="200"/>
              <w:spacing w:after="0"/>
              <w:rPr>
                <w:sz w:val="20"/>
                <w:szCs w:val="20"/>
                <w:color w:val="auto"/>
              </w:rPr>
            </w:pPr>
            <w:r>
              <w:rPr>
                <w:rFonts w:ascii="Arial" w:cs="Arial" w:eastAsia="Arial" w:hAnsi="Arial"/>
                <w:sz w:val="18"/>
                <w:szCs w:val="18"/>
                <w:b w:val="1"/>
                <w:bCs w:val="1"/>
                <w:color w:val="auto"/>
              </w:rPr>
              <w:t>1,880,319*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-2001520</wp:posOffset>
            </wp:positionH>
            <wp:positionV relativeFrom="paragraph">
              <wp:posOffset>-108585</wp:posOffset>
            </wp:positionV>
            <wp:extent cx="23571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571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 w:hanging="254"/>
        <w:spacing w:after="0" w:line="184" w:lineRule="exact"/>
        <w:tabs>
          <w:tab w:leader="none" w:pos="340" w:val="left"/>
        </w:tabs>
        <w:numPr>
          <w:ilvl w:val="0"/>
          <w:numId w:val="17"/>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80" w:lineRule="exact"/>
        <w:rPr>
          <w:rFonts w:ascii="Arial" w:cs="Arial" w:eastAsia="Arial" w:hAnsi="Arial"/>
          <w:sz w:val="16"/>
          <w:szCs w:val="16"/>
          <w:color w:val="auto"/>
        </w:rPr>
      </w:pPr>
    </w:p>
    <w:p>
      <w:pPr>
        <w:ind w:left="340" w:hanging="264"/>
        <w:spacing w:after="0" w:line="184" w:lineRule="exact"/>
        <w:tabs>
          <w:tab w:leader="none" w:pos="340" w:val="left"/>
        </w:tabs>
        <w:numPr>
          <w:ilvl w:val="0"/>
          <w:numId w:val="17"/>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6386" w:lineRule="exact"/>
        <w:rPr>
          <w:sz w:val="20"/>
          <w:szCs w:val="20"/>
          <w:color w:val="auto"/>
        </w:rPr>
      </w:pPr>
    </w:p>
    <w:p>
      <w:pPr>
        <w:sectPr>
          <w:pgSz w:w="11900" w:h="16838" w:orient="portrait"/>
          <w:cols w:equalWidth="0" w:num="2">
            <w:col w:w="9960" w:space="720"/>
            <w:col w:w="540"/>
          </w:cols>
          <w:pgMar w:left="320" w:top="902" w:right="359" w:bottom="1440" w:gutter="0" w:footer="0" w:header="0"/>
        </w:sectPr>
      </w:pPr>
    </w:p>
    <w:p>
      <w:pPr>
        <w:spacing w:after="0" w:line="15" w:lineRule="exact"/>
        <w:rPr>
          <w:sz w:val="20"/>
          <w:szCs w:val="20"/>
          <w:color w:val="auto"/>
        </w:rPr>
      </w:pPr>
    </w:p>
    <w:p>
      <w:pPr>
        <w:ind w:left="640" w:hanging="565"/>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1,880,319*</w:t>
      </w:r>
    </w:p>
    <w:p>
      <w:pPr>
        <w:spacing w:after="0" w:line="242" w:lineRule="exact"/>
        <w:rPr>
          <w:rFonts w:ascii="Arial" w:cs="Arial" w:eastAsia="Arial" w:hAnsi="Arial"/>
          <w:sz w:val="18"/>
          <w:szCs w:val="18"/>
          <w:b w:val="1"/>
          <w:bCs w:val="1"/>
          <w:color w:val="auto"/>
        </w:rPr>
      </w:pPr>
    </w:p>
    <w:p>
      <w:pPr>
        <w:ind w:left="640" w:hanging="565"/>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w:t>
      </w:r>
    </w:p>
    <w:p>
      <w:pPr>
        <w:spacing w:after="0" w:line="18" w:lineRule="exact"/>
        <w:rPr>
          <w:sz w:val="20"/>
          <w:szCs w:val="20"/>
          <w:color w:val="auto"/>
        </w:rPr>
      </w:pPr>
    </w:p>
    <w:p>
      <w:pPr>
        <w:ind w:left="10860"/>
        <w:spacing w:after="0" w:line="181" w:lineRule="exact"/>
        <w:rPr>
          <w:sz w:val="20"/>
          <w:szCs w:val="20"/>
          <w:color w:val="auto"/>
        </w:rPr>
      </w:pPr>
      <w:r>
        <w:rPr>
          <w:rFonts w:ascii="MS PGothic" w:cs="MS PGothic" w:eastAsia="MS PGothic" w:hAnsi="MS PGothic"/>
          <w:sz w:val="18"/>
          <w:szCs w:val="18"/>
          <w:color w:val="auto"/>
        </w:rPr>
        <w:t>☐</w:t>
      </w:r>
    </w:p>
    <w:p>
      <w:pPr>
        <w:spacing w:after="0" w:line="256" w:lineRule="exact"/>
        <w:rPr>
          <w:sz w:val="20"/>
          <w:szCs w:val="20"/>
          <w:color w:val="auto"/>
        </w:rPr>
      </w:pPr>
    </w:p>
    <w:p>
      <w:pPr>
        <w:ind w:left="640" w:hanging="565"/>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6.8%**</w:t>
      </w:r>
    </w:p>
    <w:p>
      <w:pPr>
        <w:spacing w:after="0" w:line="242" w:lineRule="exact"/>
        <w:rPr>
          <w:rFonts w:ascii="Arial" w:cs="Arial" w:eastAsia="Arial" w:hAnsi="Arial"/>
          <w:sz w:val="18"/>
          <w:szCs w:val="18"/>
          <w:b w:val="1"/>
          <w:bCs w:val="1"/>
          <w:color w:val="auto"/>
        </w:rPr>
      </w:pPr>
    </w:p>
    <w:p>
      <w:pPr>
        <w:ind w:left="640" w:hanging="565"/>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PN</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ind w:firstLine="8"/>
        <w:spacing w:after="0" w:line="260" w:lineRule="auto"/>
        <w:tabs>
          <w:tab w:leader="none" w:pos="1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635,593 shares of Common Stock issuable upon the conversion of Series A Preferred Stock, which is convertible into Common Stock at any time at the option of the holder. Does not include dividends.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Assumes the conversion of the Series A Preferred Stock into Common Stock. Does not include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type w:val="continuous"/>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CUSIP NO. 533535100</w:t>
            </w:r>
          </w:p>
        </w:tc>
        <w:tc>
          <w:tcPr>
            <w:tcW w:w="2040" w:type="dxa"/>
            <w:vAlign w:val="bottom"/>
          </w:tcPr>
          <w:p>
            <w:pPr>
              <w:ind w:left="1740"/>
              <w:spacing w:after="0"/>
              <w:rPr>
                <w:sz w:val="20"/>
                <w:szCs w:val="20"/>
                <w:color w:val="auto"/>
              </w:rPr>
            </w:pPr>
            <w:r>
              <w:rPr>
                <w:rFonts w:ascii="Arial" w:cs="Arial" w:eastAsia="Arial" w:hAnsi="Arial"/>
                <w:sz w:val="18"/>
                <w:szCs w:val="18"/>
                <w:b w:val="1"/>
                <w:bCs w:val="1"/>
                <w:color w:val="auto"/>
                <w:w w:val="84"/>
              </w:rPr>
              <w:t>13D</w:t>
            </w:r>
          </w:p>
        </w:tc>
      </w:tr>
    </w:tbl>
    <w:p>
      <w:pPr>
        <w:spacing w:after="0" w:line="215" w:lineRule="exact"/>
        <w:rPr>
          <w:sz w:val="20"/>
          <w:szCs w:val="20"/>
          <w:color w:val="auto"/>
        </w:rPr>
      </w:pPr>
    </w:p>
    <w:p>
      <w:pPr>
        <w:ind w:left="640" w:hanging="565"/>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JUSTYN R. PUTNAM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6986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6986270"/>
                    </a:xfrm>
                    <a:prstGeom prst="rect">
                      <a:avLst/>
                    </a:prstGeom>
                    <a:noFill/>
                  </pic:spPr>
                </pic:pic>
              </a:graphicData>
            </a:graphic>
          </wp:anchor>
        </w:drawing>
      </w:r>
    </w:p>
    <w:p>
      <w:pPr>
        <w:spacing w:after="0" w:line="223" w:lineRule="exact"/>
        <w:rPr>
          <w:sz w:val="20"/>
          <w:szCs w:val="20"/>
          <w:color w:val="auto"/>
        </w:rPr>
      </w:pPr>
    </w:p>
    <w:p>
      <w:pPr>
        <w:ind w:left="640" w:hanging="565"/>
        <w:spacing w:after="0"/>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00" w:lineRule="exact"/>
        <w:rPr>
          <w:sz w:val="20"/>
          <w:szCs w:val="20"/>
          <w:color w:val="auto"/>
        </w:rPr>
      </w:pPr>
    </w:p>
    <w:p>
      <w:pPr>
        <w:spacing w:after="0" w:line="255" w:lineRule="exact"/>
        <w:rPr>
          <w:sz w:val="20"/>
          <w:szCs w:val="20"/>
          <w:color w:val="auto"/>
        </w:rPr>
      </w:pPr>
    </w:p>
    <w:p>
      <w:pPr>
        <w:ind w:left="640" w:hanging="565"/>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640" w:hanging="565"/>
        <w:spacing w:after="0"/>
        <w:tabs>
          <w:tab w:leader="none" w:pos="6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 AF</w:t>
      </w:r>
    </w:p>
    <w:p>
      <w:pPr>
        <w:spacing w:after="0" w:line="243" w:lineRule="exact"/>
        <w:rPr>
          <w:sz w:val="20"/>
          <w:szCs w:val="20"/>
          <w:color w:val="auto"/>
        </w:rPr>
      </w:pPr>
    </w:p>
    <w:p>
      <w:pPr>
        <w:ind w:left="640" w:right="2580" w:hanging="565"/>
        <w:spacing w:after="0" w:line="233" w:lineRule="exact"/>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196" w:lineRule="exact"/>
        <w:rPr>
          <w:sz w:val="20"/>
          <w:szCs w:val="20"/>
          <w:color w:val="auto"/>
        </w:rPr>
      </w:pPr>
    </w:p>
    <w:p>
      <w:pPr>
        <w:ind w:left="640" w:hanging="565"/>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UNITED STATES OF AMERICA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-2001520</wp:posOffset>
            </wp:positionH>
            <wp:positionV relativeFrom="paragraph">
              <wp:posOffset>-108585</wp:posOffset>
            </wp:positionV>
            <wp:extent cx="23571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571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 w:hanging="254"/>
        <w:spacing w:after="0" w:line="184" w:lineRule="exact"/>
        <w:tabs>
          <w:tab w:leader="none" w:pos="340" w:val="left"/>
        </w:tabs>
        <w:numPr>
          <w:ilvl w:val="0"/>
          <w:numId w:val="27"/>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80" w:lineRule="exact"/>
        <w:rPr>
          <w:rFonts w:ascii="Arial" w:cs="Arial" w:eastAsia="Arial" w:hAnsi="Arial"/>
          <w:sz w:val="16"/>
          <w:szCs w:val="16"/>
          <w:color w:val="auto"/>
        </w:rPr>
      </w:pPr>
    </w:p>
    <w:p>
      <w:pPr>
        <w:ind w:left="340" w:hanging="264"/>
        <w:spacing w:after="0" w:line="184" w:lineRule="exact"/>
        <w:tabs>
          <w:tab w:leader="none" w:pos="340" w:val="left"/>
        </w:tabs>
        <w:numPr>
          <w:ilvl w:val="0"/>
          <w:numId w:val="27"/>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848" w:lineRule="exact"/>
        <w:rPr>
          <w:sz w:val="20"/>
          <w:szCs w:val="20"/>
          <w:color w:val="auto"/>
        </w:rPr>
      </w:pPr>
    </w:p>
    <w:p>
      <w:pPr>
        <w:sectPr>
          <w:pgSz w:w="11900" w:h="16838" w:orient="portrait"/>
          <w:cols w:equalWidth="0" w:num="2">
            <w:col w:w="9960" w:space="720"/>
            <w:col w:w="560"/>
          </w:cols>
          <w:pgMar w:left="320" w:top="903" w:right="339" w:bottom="1440" w:gutter="0" w:footer="0" w:header="0"/>
        </w:sectPr>
      </w:pP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720" w:type="dxa"/>
            <w:vAlign w:val="bottom"/>
            <w:tcBorders>
              <w:top w:val="single" w:sz="8" w:color="auto"/>
              <w:right w:val="single" w:sz="8" w:color="auto"/>
            </w:tcBorders>
          </w:tcPr>
          <w:p>
            <w:pPr>
              <w:spacing w:after="0"/>
              <w:rPr>
                <w:sz w:val="21"/>
                <w:szCs w:val="21"/>
                <w:color w:val="auto"/>
              </w:rPr>
            </w:pPr>
          </w:p>
        </w:tc>
        <w:tc>
          <w:tcPr>
            <w:tcW w:w="5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7</w:t>
            </w:r>
          </w:p>
        </w:tc>
        <w:tc>
          <w:tcPr>
            <w:tcW w:w="89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4"/>
        </w:trPr>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960" w:type="dxa"/>
            <w:vAlign w:val="bottom"/>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8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8</w:t>
            </w:r>
          </w:p>
        </w:tc>
        <w:tc>
          <w:tcPr>
            <w:tcW w:w="89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5"/>
        </w:trPr>
        <w:tc>
          <w:tcPr>
            <w:tcW w:w="172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560" w:type="dxa"/>
            <w:vAlign w:val="bottom"/>
            <w:tcBorders>
              <w:right w:val="single" w:sz="8" w:color="auto"/>
            </w:tcBorders>
          </w:tcPr>
          <w:p>
            <w:pPr>
              <w:spacing w:after="0"/>
              <w:rPr>
                <w:sz w:val="18"/>
                <w:szCs w:val="18"/>
                <w:color w:val="auto"/>
              </w:rPr>
            </w:pPr>
          </w:p>
        </w:tc>
        <w:tc>
          <w:tcPr>
            <w:tcW w:w="89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1,880,319*</w:t>
            </w:r>
          </w:p>
        </w:tc>
        <w:tc>
          <w:tcPr>
            <w:tcW w:w="0" w:type="dxa"/>
            <w:vAlign w:val="bottom"/>
          </w:tcPr>
          <w:p>
            <w:pPr>
              <w:spacing w:after="0"/>
              <w:rPr>
                <w:sz w:val="1"/>
                <w:szCs w:val="1"/>
                <w:color w:val="auto"/>
              </w:rPr>
            </w:pPr>
          </w:p>
        </w:tc>
      </w:tr>
      <w:tr>
        <w:trPr>
          <w:trHeight w:val="122"/>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spacing w:after="0"/>
              <w:rPr>
                <w:sz w:val="10"/>
                <w:szCs w:val="10"/>
                <w:color w:val="auto"/>
              </w:rPr>
            </w:pPr>
          </w:p>
        </w:tc>
        <w:tc>
          <w:tcPr>
            <w:tcW w:w="8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Borders>
              <w:right w:val="single" w:sz="8" w:color="auto"/>
            </w:tcBorders>
            <w:vMerge w:val="continue"/>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8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560" w:type="dxa"/>
            <w:vAlign w:val="bottom"/>
            <w:tcBorders>
              <w:bottom w:val="single" w:sz="8" w:color="auto"/>
              <w:right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9</w:t>
            </w:r>
          </w:p>
        </w:tc>
        <w:tc>
          <w:tcPr>
            <w:tcW w:w="89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560" w:type="dxa"/>
            <w:vAlign w:val="bottom"/>
            <w:tcBorders>
              <w:right w:val="single" w:sz="8" w:color="auto"/>
            </w:tcBorders>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2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8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18"/>
                <w:szCs w:val="18"/>
                <w:color w:val="auto"/>
              </w:rPr>
            </w:pPr>
          </w:p>
        </w:tc>
        <w:tc>
          <w:tcPr>
            <w:tcW w:w="89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36"/>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560" w:type="dxa"/>
            <w:vAlign w:val="bottom"/>
            <w:tcBorders>
              <w:right w:val="single" w:sz="8" w:color="auto"/>
            </w:tcBorders>
          </w:tcPr>
          <w:p>
            <w:pPr>
              <w:spacing w:after="0"/>
              <w:rPr>
                <w:sz w:val="11"/>
                <w:szCs w:val="11"/>
                <w:color w:val="auto"/>
              </w:rPr>
            </w:pPr>
          </w:p>
        </w:tc>
        <w:tc>
          <w:tcPr>
            <w:tcW w:w="8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20" w:type="dxa"/>
            <w:vAlign w:val="bottom"/>
            <w:tcBorders>
              <w:right w:val="single" w:sz="8" w:color="auto"/>
            </w:tcBorders>
            <w:vMerge w:val="continue"/>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8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20" w:type="dxa"/>
            <w:vAlign w:val="bottom"/>
            <w:tcBorders>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72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10</w:t>
            </w:r>
          </w:p>
        </w:tc>
        <w:tc>
          <w:tcPr>
            <w:tcW w:w="89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4"/>
        </w:trPr>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960" w:type="dxa"/>
            <w:vAlign w:val="bottom"/>
          </w:tcPr>
          <w:p>
            <w:pPr>
              <w:ind w:left="60"/>
              <w:spacing w:after="0"/>
              <w:rPr>
                <w:sz w:val="20"/>
                <w:szCs w:val="20"/>
                <w:color w:val="auto"/>
              </w:rPr>
            </w:pPr>
            <w:r>
              <w:rPr>
                <w:rFonts w:ascii="Arial" w:cs="Arial" w:eastAsia="Arial" w:hAnsi="Arial"/>
                <w:sz w:val="18"/>
                <w:szCs w:val="18"/>
                <w:b w:val="1"/>
                <w:bCs w:val="1"/>
                <w:color w:val="auto"/>
              </w:rPr>
              <w:t>1,880,319*</w:t>
            </w:r>
          </w:p>
        </w:tc>
        <w:tc>
          <w:tcPr>
            <w:tcW w:w="0" w:type="dxa"/>
            <w:vAlign w:val="bottom"/>
          </w:tcPr>
          <w:p>
            <w:pPr>
              <w:spacing w:after="0"/>
              <w:rPr>
                <w:sz w:val="1"/>
                <w:szCs w:val="1"/>
                <w:color w:val="auto"/>
              </w:rPr>
            </w:pPr>
          </w:p>
        </w:tc>
      </w:tr>
      <w:tr>
        <w:trPr>
          <w:trHeight w:val="216"/>
        </w:trPr>
        <w:tc>
          <w:tcPr>
            <w:tcW w:w="172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8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640" w:hanging="565"/>
        <w:spacing w:after="0"/>
        <w:tabs>
          <w:tab w:leader="none" w:pos="6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0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1,880,319*</w:t>
      </w:r>
    </w:p>
    <w:p>
      <w:pPr>
        <w:spacing w:after="0" w:line="242" w:lineRule="exact"/>
        <w:rPr>
          <w:rFonts w:ascii="Arial" w:cs="Arial" w:eastAsia="Arial" w:hAnsi="Arial"/>
          <w:sz w:val="18"/>
          <w:szCs w:val="18"/>
          <w:b w:val="1"/>
          <w:bCs w:val="1"/>
          <w:color w:val="auto"/>
        </w:rPr>
      </w:pPr>
    </w:p>
    <w:p>
      <w:pPr>
        <w:ind w:left="640" w:hanging="565"/>
        <w:spacing w:after="0"/>
        <w:tabs>
          <w:tab w:leader="none" w:pos="6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w:t>
      </w:r>
    </w:p>
    <w:p>
      <w:pPr>
        <w:spacing w:after="0" w:line="18" w:lineRule="exact"/>
        <w:rPr>
          <w:sz w:val="20"/>
          <w:szCs w:val="20"/>
          <w:color w:val="auto"/>
        </w:rPr>
      </w:pPr>
    </w:p>
    <w:p>
      <w:pPr>
        <w:ind w:left="10860"/>
        <w:spacing w:after="0" w:line="181" w:lineRule="exact"/>
        <w:rPr>
          <w:sz w:val="20"/>
          <w:szCs w:val="20"/>
          <w:color w:val="auto"/>
        </w:rPr>
      </w:pPr>
      <w:r>
        <w:rPr>
          <w:rFonts w:ascii="MS PGothic" w:cs="MS PGothic" w:eastAsia="MS PGothic" w:hAnsi="MS PGothic"/>
          <w:sz w:val="18"/>
          <w:szCs w:val="18"/>
          <w:color w:val="auto"/>
        </w:rPr>
        <w:t>☐</w:t>
      </w:r>
    </w:p>
    <w:p>
      <w:pPr>
        <w:spacing w:after="0" w:line="256" w:lineRule="exact"/>
        <w:rPr>
          <w:sz w:val="20"/>
          <w:szCs w:val="20"/>
          <w:color w:val="auto"/>
        </w:rPr>
      </w:pPr>
    </w:p>
    <w:p>
      <w:pPr>
        <w:ind w:left="640" w:hanging="565"/>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6.8%**</w:t>
      </w:r>
    </w:p>
    <w:p>
      <w:pPr>
        <w:spacing w:after="0" w:line="242" w:lineRule="exact"/>
        <w:rPr>
          <w:rFonts w:ascii="Arial" w:cs="Arial" w:eastAsia="Arial" w:hAnsi="Arial"/>
          <w:sz w:val="18"/>
          <w:szCs w:val="18"/>
          <w:b w:val="1"/>
          <w:bCs w:val="1"/>
          <w:color w:val="auto"/>
        </w:rPr>
      </w:pPr>
    </w:p>
    <w:p>
      <w:pPr>
        <w:ind w:left="640" w:hanging="565"/>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ind w:right="20" w:firstLine="8"/>
        <w:spacing w:after="0" w:line="260" w:lineRule="auto"/>
        <w:tabs>
          <w:tab w:leader="none" w:pos="1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635,593 shares of Common Stock issuable upon the conversion of Series A Preferred Stock, which is convertible into Common Stock at any time at the option of the holder. Does not include dividends.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Assumes the conversion of the Series A Preferred Stock into Common Stock. Does not include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CUSIP NO. 533535100</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3140"/>
              <w:spacing w:after="0"/>
              <w:rPr>
                <w:sz w:val="20"/>
                <w:szCs w:val="20"/>
                <w:color w:val="auto"/>
              </w:rPr>
            </w:pPr>
            <w:r>
              <w:rPr>
                <w:rFonts w:ascii="Arial" w:cs="Arial" w:eastAsia="Arial" w:hAnsi="Arial"/>
                <w:sz w:val="18"/>
                <w:szCs w:val="18"/>
                <w:color w:val="auto"/>
                <w:w w:val="91"/>
              </w:rPr>
              <w:t>Page 5</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Amendment No. 5 to Statement of Beneficial Ownership on Schedule 13D (this “Amendment No. 5”) amends the Statement of Beneficial Ownership on Schedule 13D filed by the Reporting Persons on November 23, 2016 (as amended, the “Schedule 13D” or this “Statement”), with respect to the Common Stock, no par value per share (the “Common Stock”), of Lincoln Educational Services Corporation, a New Jersey corporation (the “Company”). The Company reports that its principal executive offices are located at 14 Sylvan Way, Suite A, Parsippany, New Jersey 07054. Except as amended and supplemented by this Amendment No. 5, the Schedule 13D remains unchanged.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firstLine="656"/>
        <w:spacing w:after="0" w:line="275" w:lineRule="auto"/>
        <w:tabs>
          <w:tab w:leader="none" w:pos="912"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Reporting Persons beneficially own in the aggregate 1,880,319 shares of Common Stock, including 635,593 shares of Common Stock issuable upon the conversion of 1,500 Series A Preferred Stock. The Company’s Proxy Statement for its 2021 Annual Meeting of Stockholders filed on March 26, 2021 states that each share of Series A Preferred Stock may be converted into 423.729 shares of Common Stock. The Series A Preferred Stock is convertible into Common Stock at any time at the option of the holder. Assuming the conversion of the Series A Preferred Stock, the Reporting Persons beneficially own approximately 6.8% of the Company’s outstanding shares of Common Stock.</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Fund directly holds the number and percentage of shares of Common Stock disclosed as beneficially owned by it in the applicable table set forth on the cover page to this Statement. None of the other Reporting Persons directly hold any of the shares of Common Stock disclosed in this Statement.</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Each percentage ownership of shares of Common Stock set forth in this Statement is based on 26,895,970 shares of Common Stock reported by the Company as outstanding as of May 5, 2021 in its Quarterly Report on Form 10-Q filed with the Securities and Exchange Commission on May 10, 2021, plus 635,593 shares of Common Stock issuable upon the conversion of the Series A Preferred Stock held by the Fund into shares of Common Stock.</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GP, as general partner of the Fund, and Mr. Putnam, as managing member of the GP, may be deemed to have the shared power to direct the voting and disposition of shares of Common Stock beneficially owned by the Fund, and consequently the GP and Mr. Putnam may be deemed to have indirect beneficial ownership of such shares. The GP and Mr. Putnam disclaim such beneficial ownership.</w:t>
      </w:r>
    </w:p>
    <w:p>
      <w:pPr>
        <w:spacing w:after="0" w:line="184" w:lineRule="exact"/>
        <w:rPr>
          <w:sz w:val="20"/>
          <w:szCs w:val="20"/>
          <w:color w:val="auto"/>
        </w:rPr>
      </w:pPr>
    </w:p>
    <w:p>
      <w:pPr>
        <w:ind w:firstLine="656"/>
        <w:spacing w:after="0" w:line="277" w:lineRule="auto"/>
        <w:tabs>
          <w:tab w:leader="none" w:pos="8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May 14, 2021, the Fund sold 130,000 shares of Common Stock, at $7.26 per share, through the open market. The Reporting Persons did not effect any other transactions in the Company’s securities in the last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CUSIP NO. 533535100</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3140"/>
              <w:spacing w:after="0"/>
              <w:rPr>
                <w:sz w:val="20"/>
                <w:szCs w:val="20"/>
                <w:color w:val="auto"/>
              </w:rPr>
            </w:pPr>
            <w:r>
              <w:rPr>
                <w:rFonts w:ascii="Arial" w:cs="Arial" w:eastAsia="Arial" w:hAnsi="Arial"/>
                <w:sz w:val="18"/>
                <w:szCs w:val="18"/>
                <w:color w:val="auto"/>
                <w:w w:val="91"/>
              </w:rPr>
              <w:t>Page 6</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After reasonable inquiry and to the best of each of the undersigned’s knowledge and belief, each of the undersigned certifies that the information set forth in this Statement is true, complete and correct.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Rule 13d-1(k)(1)(iii) under the Securities Exchange Act of 1934, as amended, the persons named below agree to the joint filing on behalf of each of them of this Statement on Schedule 13D with respect to the Common Stock of the Company.</w:t>
      </w:r>
    </w:p>
    <w:p>
      <w:pPr>
        <w:spacing w:after="0" w:line="1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Dated: May 18, 2021</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TALANTA INVESTMENT GROUP, LLC</w:t>
      </w:r>
    </w:p>
    <w:p>
      <w:pPr>
        <w:spacing w:after="0" w:line="225"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Justyn R. Putnam</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gridSpan w:val="2"/>
          </w:tcPr>
          <w:p>
            <w:pPr>
              <w:spacing w:after="0" w:line="195" w:lineRule="exact"/>
              <w:rPr>
                <w:sz w:val="20"/>
                <w:szCs w:val="20"/>
                <w:color w:val="auto"/>
              </w:rPr>
            </w:pPr>
            <w:r>
              <w:rPr>
                <w:rFonts w:ascii="Arial" w:cs="Arial" w:eastAsia="Arial" w:hAnsi="Arial"/>
                <w:sz w:val="18"/>
                <w:szCs w:val="18"/>
                <w:color w:val="auto"/>
              </w:rPr>
              <w:t>Justyn R. Putnam</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gridSpan w:val="2"/>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5720" w:type="dxa"/>
            <w:vAlign w:val="bottom"/>
            <w:gridSpan w:val="3"/>
          </w:tcPr>
          <w:p>
            <w:pPr>
              <w:spacing w:after="0"/>
              <w:rPr>
                <w:sz w:val="20"/>
                <w:szCs w:val="20"/>
                <w:color w:val="auto"/>
              </w:rPr>
            </w:pPr>
            <w:r>
              <w:rPr>
                <w:rFonts w:ascii="Arial" w:cs="Arial" w:eastAsia="Arial" w:hAnsi="Arial"/>
                <w:sz w:val="18"/>
                <w:szCs w:val="18"/>
                <w:color w:val="auto"/>
              </w:rPr>
              <w:t>TALANTA FUND, L.P.</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TALANTA Investment Group, LLC,</w:t>
            </w:r>
          </w:p>
        </w:tc>
      </w:tr>
      <w:tr>
        <w:trPr>
          <w:trHeight w:val="230"/>
        </w:trPr>
        <w:tc>
          <w:tcPr>
            <w:tcW w:w="68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68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Justyn R. Putnam</w:t>
            </w:r>
          </w:p>
        </w:tc>
      </w:tr>
      <w:tr>
        <w:trPr>
          <w:trHeight w:val="195"/>
        </w:trPr>
        <w:tc>
          <w:tcPr>
            <w:tcW w:w="68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Justyn R. Putnam</w:t>
            </w:r>
          </w:p>
        </w:tc>
      </w:tr>
      <w:tr>
        <w:trPr>
          <w:trHeight w:val="230"/>
        </w:trPr>
        <w:tc>
          <w:tcPr>
            <w:tcW w:w="6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Justyn R. Putnam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14605</wp:posOffset>
            </wp:positionV>
            <wp:extent cx="36347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JUSTYN R. PUTNAM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bullet"/>
      <w:start w:val="1"/>
    </w:lvl>
  </w:abstractNum>
  <w:abstractNum w:abstractNumId="1">
    <w:nsid w:val="25E45D32"/>
    <w:multiLevelType w:val="hybridMultilevel"/>
    <w:lvl w:ilvl="0">
      <w:lvlJc w:val="left"/>
      <w:lvlText w:val="2"/>
      <w:numFmt w:val="bullet"/>
      <w:start w:val="1"/>
    </w:lvl>
  </w:abstractNum>
  <w:abstractNum w:abstractNumId="2">
    <w:nsid w:val="519B500D"/>
    <w:multiLevelType w:val="hybridMultilevel"/>
    <w:lvl w:ilvl="0">
      <w:lvlJc w:val="left"/>
      <w:lvlText w:val="3"/>
      <w:numFmt w:val="bullet"/>
      <w:start w:val="1"/>
    </w:lvl>
  </w:abstractNum>
  <w:abstractNum w:abstractNumId="3">
    <w:nsid w:val="431BD7B7"/>
    <w:multiLevelType w:val="hybridMultilevel"/>
    <w:lvl w:ilvl="0">
      <w:lvlJc w:val="left"/>
      <w:lvlText w:val="4"/>
      <w:numFmt w:val="bullet"/>
      <w:start w:val="1"/>
    </w:lvl>
  </w:abstractNum>
  <w:abstractNum w:abstractNumId="4">
    <w:nsid w:val="3F2DBA31"/>
    <w:multiLevelType w:val="hybridMultilevel"/>
    <w:lvl w:ilvl="0">
      <w:lvlJc w:val="left"/>
      <w:lvlText w:val="5"/>
      <w:numFmt w:val="bullet"/>
      <w:start w:val="1"/>
    </w:lvl>
  </w:abstractNum>
  <w:abstractNum w:abstractNumId="5">
    <w:nsid w:val="7C83E458"/>
    <w:multiLevelType w:val="hybridMultilevel"/>
    <w:lvl w:ilvl="0">
      <w:lvlJc w:val="left"/>
      <w:lvlText w:val="6"/>
      <w:numFmt w:val="bullet"/>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1"/>
      <w:numFmt w:val="decimal"/>
      <w:start w:val="11"/>
    </w:lvl>
  </w:abstractNum>
  <w:abstractNum w:abstractNumId="8">
    <w:nsid w:val="436C6125"/>
    <w:multiLevelType w:val="hybridMultilevel"/>
    <w:lvl w:ilvl="0">
      <w:lvlJc w:val="left"/>
      <w:lvlText w:val="%1"/>
      <w:numFmt w:val="decimal"/>
      <w:start w:val="13"/>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bullet"/>
      <w:start w:val="1"/>
    </w:lvl>
  </w:abstractNum>
  <w:abstractNum w:abstractNumId="11">
    <w:nsid w:val="721DA317"/>
    <w:multiLevelType w:val="hybridMultilevel"/>
    <w:lvl w:ilvl="0">
      <w:lvlJc w:val="left"/>
      <w:lvlText w:val="2"/>
      <w:numFmt w:val="bullet"/>
      <w:start w:val="1"/>
    </w:lvl>
  </w:abstractNum>
  <w:abstractNum w:abstractNumId="12">
    <w:nsid w:val="2443A858"/>
    <w:multiLevelType w:val="hybridMultilevel"/>
    <w:lvl w:ilvl="0">
      <w:lvlJc w:val="left"/>
      <w:lvlText w:val="3"/>
      <w:numFmt w:val="bullet"/>
      <w:start w:val="1"/>
    </w:lvl>
  </w:abstractNum>
  <w:abstractNum w:abstractNumId="13">
    <w:nsid w:val="2D1D5AE9"/>
    <w:multiLevelType w:val="hybridMultilevel"/>
    <w:lvl w:ilvl="0">
      <w:lvlJc w:val="left"/>
      <w:lvlText w:val="4"/>
      <w:numFmt w:val="bullet"/>
      <w:start w:val="1"/>
    </w:lvl>
  </w:abstractNum>
  <w:abstractNum w:abstractNumId="14">
    <w:nsid w:val="6763845E"/>
    <w:multiLevelType w:val="hybridMultilevel"/>
    <w:lvl w:ilvl="0">
      <w:lvlJc w:val="left"/>
      <w:lvlText w:val="5"/>
      <w:numFmt w:val="bullet"/>
      <w:start w:val="1"/>
    </w:lvl>
  </w:abstractNum>
  <w:abstractNum w:abstractNumId="15">
    <w:nsid w:val="75A2A8D4"/>
    <w:multiLevelType w:val="hybridMultilevel"/>
    <w:lvl w:ilvl="0">
      <w:lvlJc w:val="left"/>
      <w:lvlText w:val="6"/>
      <w:numFmt w:val="bullet"/>
      <w:start w:val="1"/>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1"/>
      <w:numFmt w:val="decimal"/>
      <w:start w:val="11"/>
    </w:lvl>
  </w:abstractNum>
  <w:abstractNum w:abstractNumId="18">
    <w:nsid w:val="4353D0CD"/>
    <w:multiLevelType w:val="hybridMultilevel"/>
    <w:lvl w:ilvl="0">
      <w:lvlJc w:val="left"/>
      <w:lvlText w:val="%1"/>
      <w:numFmt w:val="decimal"/>
      <w:start w:val="13"/>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bullet"/>
      <w:start w:val="1"/>
    </w:lvl>
  </w:abstractNum>
  <w:abstractNum w:abstractNumId="21">
    <w:nsid w:val="54E49EB4"/>
    <w:multiLevelType w:val="hybridMultilevel"/>
    <w:lvl w:ilvl="0">
      <w:lvlJc w:val="left"/>
      <w:lvlText w:val="2"/>
      <w:numFmt w:val="bullet"/>
      <w:start w:val="1"/>
    </w:lvl>
  </w:abstractNum>
  <w:abstractNum w:abstractNumId="22">
    <w:nsid w:val="71F32454"/>
    <w:multiLevelType w:val="hybridMultilevel"/>
    <w:lvl w:ilvl="0">
      <w:lvlJc w:val="left"/>
      <w:lvlText w:val="3"/>
      <w:numFmt w:val="bullet"/>
      <w:start w:val="1"/>
    </w:lvl>
  </w:abstractNum>
  <w:abstractNum w:abstractNumId="23">
    <w:nsid w:val="2CA88611"/>
    <w:multiLevelType w:val="hybridMultilevel"/>
    <w:lvl w:ilvl="0">
      <w:lvlJc w:val="left"/>
      <w:lvlText w:val="4"/>
      <w:numFmt w:val="bullet"/>
      <w:start w:val="1"/>
    </w:lvl>
  </w:abstractNum>
  <w:abstractNum w:abstractNumId="24">
    <w:nsid w:val="836C40E"/>
    <w:multiLevelType w:val="hybridMultilevel"/>
    <w:lvl w:ilvl="0">
      <w:lvlJc w:val="left"/>
      <w:lvlText w:val="5"/>
      <w:numFmt w:val="bullet"/>
      <w:start w:val="1"/>
    </w:lvl>
  </w:abstractNum>
  <w:abstractNum w:abstractNumId="25">
    <w:nsid w:val="2901D82"/>
    <w:multiLevelType w:val="hybridMultilevel"/>
    <w:lvl w:ilvl="0">
      <w:lvlJc w:val="left"/>
      <w:lvlText w:val="6"/>
      <w:numFmt w:val="bullet"/>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decimal"/>
      <w:start w:val="11"/>
    </w:lvl>
  </w:abstractNum>
  <w:abstractNum w:abstractNumId="28">
    <w:nsid w:val="1E7FF521"/>
    <w:multiLevelType w:val="hybridMultilevel"/>
    <w:lvl w:ilvl="0">
      <w:lvlJc w:val="left"/>
      <w:lvlText w:val="%1"/>
      <w:numFmt w:val="decimal"/>
      <w:start w:val="13"/>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2021-05-18T13:09:42Z</dcterms:created>
  <dcterms:modified xsi:type="dcterms:W3CDTF">2021-05-18T13:09:42Z</dcterms:modified>
</cp:coreProperties>
</file>