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LUSTER ALEXANDRA M</w:t>
              </w:r>
            </w:hyperlink>
          </w:p>
        </w:tc>
        <w:tc>
          <w:tcPr>
            <w:tcW w:w="1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LINCOLN EDUCATIONAL SERVICES</w:t>
              </w:r>
            </w:hyperlink>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40" w:type="dxa"/>
            <w:vAlign w:val="bottom"/>
            <w:tcBorders>
              <w:bottom w:val="single" w:sz="8" w:color="0000EE"/>
            </w:tcBorders>
            <w:gridSpan w:val="4"/>
            <w:vMerge w:val="continue"/>
          </w:tcPr>
          <w:p>
            <w:pPr>
              <w:spacing w:after="0"/>
              <w:rPr>
                <w:sz w:val="5"/>
                <w:szCs w:val="5"/>
                <w:color w:val="auto"/>
              </w:rPr>
            </w:pPr>
          </w:p>
        </w:tc>
        <w:tc>
          <w:tcPr>
            <w:tcW w:w="1200" w:type="dxa"/>
            <w:vAlign w:val="bottom"/>
            <w:vMerge w:val="restart"/>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CORP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LINC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40" w:type="dxa"/>
            <w:vAlign w:val="bottom"/>
            <w:gridSpan w:val="4"/>
          </w:tcPr>
          <w:p>
            <w:pPr>
              <w:spacing w:after="0"/>
              <w:rPr>
                <w:sz w:val="4"/>
                <w:szCs w:val="4"/>
                <w:color w:val="auto"/>
              </w:rPr>
            </w:pPr>
          </w:p>
        </w:tc>
        <w:tc>
          <w:tcPr>
            <w:tcW w:w="12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gridSpan w:val="4"/>
            <w:vMerge w:val="continue"/>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360" w:type="dxa"/>
            <w:vAlign w:val="bottom"/>
            <w:gridSpan w:val="4"/>
            <w:vMerge w:val="continue"/>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20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80" w:type="dxa"/>
            <w:vAlign w:val="bottom"/>
            <w:tcBorders>
              <w:top w:val="single" w:sz="8" w:color="EEEEEE"/>
            </w:tcBorders>
            <w:gridSpan w:val="2"/>
            <w:vMerge w:val="restart"/>
          </w:tcPr>
          <w:p>
            <w:pPr>
              <w:ind w:left="600"/>
              <w:spacing w:after="0"/>
              <w:rPr>
                <w:sz w:val="20"/>
                <w:szCs w:val="20"/>
                <w:color w:val="auto"/>
              </w:rPr>
            </w:pPr>
            <w:r>
              <w:rPr>
                <w:rFonts w:ascii="Arial" w:cs="Arial" w:eastAsia="Arial" w:hAnsi="Arial"/>
                <w:sz w:val="13"/>
                <w:szCs w:val="13"/>
                <w:color w:val="auto"/>
              </w:rPr>
              <w:t>(First)</w:t>
            </w:r>
          </w:p>
        </w:tc>
        <w:tc>
          <w:tcPr>
            <w:tcW w:w="140" w:type="dxa"/>
            <w:vAlign w:val="bottom"/>
            <w:tcBorders>
              <w:top w:val="single" w:sz="8" w:color="EEEEEE"/>
            </w:tcBorders>
          </w:tcPr>
          <w:p>
            <w:pPr>
              <w:spacing w:after="0"/>
              <w:rPr>
                <w:sz w:val="15"/>
                <w:szCs w:val="15"/>
                <w:color w:val="auto"/>
              </w:rPr>
            </w:pPr>
          </w:p>
        </w:tc>
        <w:tc>
          <w:tcPr>
            <w:tcW w:w="120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6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120" w:type="dxa"/>
            <w:vAlign w:val="bottom"/>
            <w:gridSpan w:val="3"/>
            <w:vMerge w:val="restart"/>
          </w:tcPr>
          <w:p>
            <w:pPr>
              <w:ind w:left="260"/>
              <w:spacing w:after="0"/>
              <w:rPr>
                <w:sz w:val="20"/>
                <w:szCs w:val="20"/>
                <w:color w:val="auto"/>
              </w:rPr>
            </w:pPr>
            <w:r>
              <w:rPr>
                <w:rFonts w:ascii="Times New Roman" w:cs="Times New Roman" w:eastAsia="Times New Roman" w:hAnsi="Times New Roman"/>
                <w:sz w:val="17"/>
                <w:szCs w:val="17"/>
                <w:color w:val="0000FF"/>
              </w:rPr>
              <w:t>SVP and General Counsel</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LINCOLN EDUCATIONAL SERVICES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20" w:type="dxa"/>
            <w:vAlign w:val="bottom"/>
            <w:gridSpan w:val="3"/>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40" w:type="dxa"/>
            <w:vAlign w:val="bottom"/>
            <w:gridSpan w:val="5"/>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CORP</w:t>
            </w: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20" w:type="dxa"/>
            <w:vAlign w:val="bottom"/>
            <w:gridSpan w:val="7"/>
          </w:tcPr>
          <w:p>
            <w:pPr>
              <w:ind w:left="160"/>
              <w:spacing w:after="0"/>
              <w:rPr>
                <w:sz w:val="20"/>
                <w:szCs w:val="20"/>
                <w:color w:val="auto"/>
              </w:rPr>
            </w:pPr>
            <w:r>
              <w:rPr>
                <w:rFonts w:ascii="Times New Roman" w:cs="Times New Roman" w:eastAsia="Times New Roman" w:hAnsi="Times New Roman"/>
                <w:sz w:val="17"/>
                <w:szCs w:val="17"/>
                <w:color w:val="0000FF"/>
              </w:rPr>
              <w:t>06/15/2026</w:t>
            </w: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14 SYLVAN WAY, STE A</w:t>
            </w: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0" w:type="dxa"/>
            <w:vAlign w:val="bottom"/>
            <w:gridSpan w:val="7"/>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gridSpan w:val="3"/>
            <w:vMerge w:val="continue"/>
          </w:tcPr>
          <w:p>
            <w:pPr>
              <w:spacing w:after="0"/>
              <w:rPr>
                <w:sz w:val="5"/>
                <w:szCs w:val="5"/>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PARSIPPANY  NJ</w:t>
            </w:r>
          </w:p>
        </w:tc>
        <w:tc>
          <w:tcPr>
            <w:tcW w:w="860" w:type="dxa"/>
            <w:vAlign w:val="bottom"/>
          </w:tcPr>
          <w:p>
            <w:pPr>
              <w:spacing w:after="0"/>
              <w:rPr>
                <w:sz w:val="17"/>
                <w:szCs w:val="17"/>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07054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1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gridSpan w:val="2"/>
          </w:tcPr>
          <w:p>
            <w:pPr>
              <w:spacing w:after="0"/>
              <w:rPr>
                <w:sz w:val="10"/>
                <w:szCs w:val="10"/>
                <w:color w:val="auto"/>
              </w:rPr>
            </w:pPr>
          </w:p>
        </w:tc>
        <w:tc>
          <w:tcPr>
            <w:tcW w:w="122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gridSpan w:val="2"/>
          </w:tcPr>
          <w:p>
            <w:pPr>
              <w:spacing w:after="0"/>
              <w:rPr>
                <w:sz w:val="10"/>
                <w:szCs w:val="10"/>
                <w:color w:val="auto"/>
              </w:rPr>
            </w:pPr>
          </w:p>
        </w:tc>
        <w:tc>
          <w:tcPr>
            <w:tcW w:w="2980" w:type="dxa"/>
            <w:vAlign w:val="bottom"/>
            <w:tcBorders>
              <w:bottom w:val="single" w:sz="8" w:color="2C2C2C"/>
            </w:tcBorders>
            <w:gridSpan w:val="6"/>
          </w:tcPr>
          <w:p>
            <w:pPr>
              <w:spacing w:after="0"/>
              <w:rPr>
                <w:sz w:val="10"/>
                <w:szCs w:val="10"/>
                <w:color w:val="auto"/>
              </w:rPr>
            </w:pPr>
          </w:p>
        </w:tc>
        <w:tc>
          <w:tcPr>
            <w:tcW w:w="420" w:type="dxa"/>
            <w:vAlign w:val="bottom"/>
            <w:tcBorders>
              <w:bottom w:val="single" w:sz="8" w:color="2C2C2C"/>
            </w:tcBorders>
            <w:gridSpan w:val="2"/>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20"/>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 w:type="dxa"/>
            <w:vAlign w:val="bottom"/>
          </w:tcPr>
          <w:p>
            <w:pPr>
              <w:spacing w:after="0"/>
              <w:rPr>
                <w:sz w:val="15"/>
                <w:szCs w:val="15"/>
                <w:color w:val="auto"/>
              </w:rPr>
            </w:pPr>
          </w:p>
        </w:tc>
        <w:tc>
          <w:tcPr>
            <w:tcW w:w="1620" w:type="dxa"/>
            <w:vAlign w:val="bottom"/>
            <w:gridSpan w:val="5"/>
          </w:tcPr>
          <w:p>
            <w:pPr>
              <w:ind w:left="5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gridSpan w:val="5"/>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5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120" w:type="dxa"/>
            <w:vAlign w:val="bottom"/>
          </w:tcPr>
          <w:p>
            <w:pPr>
              <w:spacing w:after="0"/>
              <w:rPr>
                <w:sz w:val="8"/>
                <w:szCs w:val="8"/>
                <w:color w:val="auto"/>
              </w:rPr>
            </w:pPr>
          </w:p>
        </w:tc>
        <w:tc>
          <w:tcPr>
            <w:tcW w:w="50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6"/>
          </w:tcPr>
          <w:p>
            <w:pPr>
              <w:jc w:val="right"/>
              <w:ind w:right="107"/>
              <w:spacing w:after="0"/>
              <w:rPr>
                <w:sz w:val="20"/>
                <w:szCs w:val="20"/>
                <w:color w:val="auto"/>
              </w:rPr>
            </w:pPr>
            <w:r>
              <w:rPr>
                <w:rFonts w:ascii="Times New Roman" w:cs="Times New Roman" w:eastAsia="Times New Roman" w:hAnsi="Times New Roman"/>
                <w:sz w:val="17"/>
                <w:szCs w:val="17"/>
                <w:color w:val="0000FF"/>
              </w:rPr>
              <w:t>06/15/2026</w:t>
            </w:r>
          </w:p>
        </w:tc>
        <w:tc>
          <w:tcPr>
            <w:tcW w:w="2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18,007</w:t>
            </w:r>
          </w:p>
        </w:tc>
        <w:tc>
          <w:tcPr>
            <w:tcW w:w="440" w:type="dxa"/>
            <w:vAlign w:val="bottom"/>
            <w:tcBorders>
              <w:bottom w:val="single" w:sz="8" w:color="2C2C2C"/>
            </w:tcBorders>
          </w:tcPr>
          <w:p>
            <w:pPr>
              <w:ind w:left="1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gridSpan w:val="5"/>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44.64</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82,356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80" w:type="dxa"/>
            <w:vAlign w:val="bottom"/>
            <w:gridSpan w:val="15"/>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40" w:type="dxa"/>
            <w:vAlign w:val="bottom"/>
          </w:tcPr>
          <w:p>
            <w:pPr>
              <w:spacing w:after="0"/>
              <w:rPr>
                <w:sz w:val="15"/>
                <w:szCs w:val="15"/>
                <w:color w:val="auto"/>
              </w:rPr>
            </w:pPr>
          </w:p>
        </w:tc>
        <w:tc>
          <w:tcPr>
            <w:tcW w:w="1200" w:type="dxa"/>
            <w:vAlign w:val="bottom"/>
          </w:tcPr>
          <w:p>
            <w:pPr>
              <w:ind w:left="16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12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3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2"/>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sale of shares was completed in connection with his financial planning needs.</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is a weighted average price. The shares were sold on June 15, 2026 in multiple transactions on the open market at prices ranging from $44.31 to $44.80. The reporting person hereby undertakes to provide to the Issuer or the Staff of the Securities and Exchange Commission, upon request, full information regarding the number of shares sold at each separate price within the range set forth in this footnote.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Alexandra M. Luster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06/15/2026</w:t>
            </w:r>
          </w:p>
        </w:tc>
      </w:tr>
      <w:tr>
        <w:trPr>
          <w:trHeight w:val="20"/>
        </w:trPr>
        <w:tc>
          <w:tcPr>
            <w:tcW w:w="1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31004" TargetMode="External"/><Relationship Id="rId14" Type="http://schemas.openxmlformats.org/officeDocument/2006/relationships/hyperlink" Target="http://www.sec.gov/cgi-bin/browse-edgar?action=getcompany&amp;CIK=00012866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2026-06-15T17:49:14Z</dcterms:created>
  <dcterms:modified xsi:type="dcterms:W3CDTF">2026-06-15T17:49:14Z</dcterms:modified>
</cp:coreProperties>
</file>