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3, 2010</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9" w:right="239" w:bottom="1440" w:gutter="0" w:footer="0" w:header="0"/>
        </w:sectPr>
      </w:pPr>
    </w:p>
    <w:p>
      <w:pPr>
        <w:spacing w:after="0" w:line="261"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Lincoln Educational Services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2009</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11, 2010</w:t>
      </w:r>
    </w:p>
    <w:p>
      <w:pPr>
        <w:spacing w:after="0" w:line="200" w:lineRule="exact"/>
        <w:rPr>
          <w:sz w:val="24"/>
          <w:szCs w:val="24"/>
          <w:color w:val="auto"/>
        </w:rPr>
      </w:pPr>
    </w:p>
    <w:p>
      <w:pPr>
        <w:sectPr>
          <w:pgSz w:w="11900" w:h="16838" w:orient="portrait"/>
          <w:cols w:equalWidth="0" w:num="2">
            <w:col w:w="920" w:space="380"/>
            <w:col w:w="10120"/>
          </w:cols>
          <w:pgMar w:left="240" w:top="449" w:right="239" w:bottom="1440" w:gutter="0" w:footer="0" w:header="0"/>
          <w:type w:val="continuous"/>
        </w:sectPr>
      </w:pPr>
    </w:p>
    <w:p>
      <w:pPr>
        <w:spacing w:after="0" w:line="61"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Definitive Proxy Statement</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24, 2010</w:t>
      </w:r>
    </w:p>
    <w:p>
      <w:pPr>
        <w:sectPr>
          <w:pgSz w:w="11900" w:h="16838" w:orient="portrait"/>
          <w:cols w:equalWidth="0" w:num="1">
            <w:col w:w="11420"/>
          </w:cols>
          <w:pgMar w:left="240" w:top="449" w:right="239" w:bottom="1440" w:gutter="0" w:footer="0" w:header="0"/>
          <w:type w:val="continuous"/>
        </w:sectPr>
      </w:pPr>
    </w:p>
    <w:p>
      <w:pPr>
        <w:spacing w:after="0" w:line="26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Quarterly Period Ended June 30, 2010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0-51371</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79"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enclose for your review Lincoln Educational Services Corporation’s (the “Company”) responses to the letter (the “Letter”) of the staff (the “Staff”) of the Securities and Exchange Commission to the Company dated November 22, 2010, relating to the Company’s Form 10-K for the year ended December 31, 2009, Form 10-Q for the quarterly period ended June 30, 2010 and its Definitive Proxy Statement. For convenience of reference, the comments in the Letter have been repeated below.</w:t>
      </w:r>
    </w:p>
    <w:p>
      <w:pPr>
        <w:spacing w:after="0" w:line="24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of our responses to your comments, we indicate that we will provide additional disclosures in future filings. The actual disclosure we make in future filings will necessarily be determined at the time of the filings and will reflect developments, including any changes in the Company’s compensation practices and plans or the Securities and Exchange Commission’s disclosure requirements.</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41</w:t>
      </w:r>
    </w:p>
    <w:p>
      <w:pPr>
        <w:spacing w:after="0" w:line="275" w:lineRule="exact"/>
        <w:rPr>
          <w:sz w:val="24"/>
          <w:szCs w:val="24"/>
          <w:color w:val="auto"/>
        </w:rPr>
      </w:pPr>
    </w:p>
    <w:p>
      <w:pPr>
        <w:jc w:val="both"/>
        <w:ind w:left="66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Comment</w:t>
      </w:r>
      <w:r>
        <w:rPr>
          <w:rFonts w:ascii="Arial" w:cs="Arial" w:eastAsia="Arial" w:hAnsi="Arial"/>
          <w:sz w:val="18"/>
          <w:szCs w:val="18"/>
          <w:color w:val="auto"/>
        </w:rPr>
        <w:t>: We note your response to comment 2 in your letter dated November 18, 2010. In future filings please disclose the relationship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financial aid funding available to students to increases in your tuition rates (e.g. whether the amount of financial aid funding available to students over recent years increased at rates greater than your tuition increases).</w:t>
      </w:r>
    </w:p>
    <w:p>
      <w:pPr>
        <w:spacing w:after="0" w:line="2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ind w:left="66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your response to comment 2 in your letter dated November 18, 2010. In future filings please disclose that your bad debt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is unpredictable due to uncertain economic conditions, namely unemployment rates.</w:t>
      </w:r>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 page 13</w:t>
      </w:r>
    </w:p>
    <w:p>
      <w:pPr>
        <w:spacing w:after="0" w:line="275" w:lineRule="exact"/>
        <w:rPr>
          <w:sz w:val="20"/>
          <w:szCs w:val="20"/>
          <w:color w:val="auto"/>
        </w:rPr>
      </w:pPr>
    </w:p>
    <w:p>
      <w:pPr>
        <w:jc w:val="both"/>
        <w:ind w:left="660" w:hanging="314"/>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your response to comment 3 in your letter dated November 18, 2010. In future filings please provide the additional description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of how you set your executives base salary, if applicable. For example, identification of the “comparable publicly held companies” and that the compensation committee compares proposed management salaries against those within the peer group’s range to see if adjustments are necessary should be highlighted.</w:t>
      </w:r>
    </w:p>
    <w:p>
      <w:pPr>
        <w:spacing w:after="0" w:line="23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w:t>
      </w:r>
    </w:p>
    <w:p>
      <w:pPr>
        <w:spacing w:after="0" w:line="283"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7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in the filings reviewed by the staff do not foreclose the Commission from taking any action with respect to the filing; and</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available to discuss our responses to your comments at any time. You may reach the undersigned at (973) 736-9340.</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Cesar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768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Cesar Ribeiro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2019-12-10T23:24:04Z</dcterms:created>
  <dcterms:modified xsi:type="dcterms:W3CDTF">2019-12-10T23:24:04Z</dcterms:modified>
</cp:coreProperties>
</file>