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676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6763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27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Carney Kevin M</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LINCOLN EDUCATIONAL SERVICES</w:t>
              </w:r>
            </w:hyperlink>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4"/>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LINCOLN EDUCATIONAL SERVICES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40" w:type="dxa"/>
            <w:vAlign w:val="bottom"/>
            <w:gridSpan w:val="7"/>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14 SYLVAN WAY, STE. A</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6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6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PARSIPPANY  NJ</w:t>
            </w:r>
          </w:p>
        </w:tc>
        <w:tc>
          <w:tcPr>
            <w:tcW w:w="86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07054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5"/>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jc w:val="center"/>
              <w:ind w:left="68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688"/>
              <w:spacing w:after="0"/>
              <w:rPr>
                <w:sz w:val="20"/>
                <w:szCs w:val="20"/>
                <w:color w:val="auto"/>
              </w:rPr>
            </w:pPr>
            <w:r>
              <w:rPr>
                <w:rFonts w:ascii="Times New Roman" w:cs="Times New Roman" w:eastAsia="Times New Roman" w:hAnsi="Times New Roman"/>
                <w:sz w:val="17"/>
                <w:szCs w:val="17"/>
                <w:color w:val="0000FF"/>
              </w:rPr>
              <w:t>06/08/2026</w:t>
            </w:r>
          </w:p>
        </w:tc>
        <w:tc>
          <w:tcPr>
            <w:tcW w:w="2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3,216</w:t>
            </w:r>
          </w:p>
        </w:tc>
        <w:tc>
          <w:tcPr>
            <w:tcW w:w="7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3"/>
          </w:tcPr>
          <w:p>
            <w:pPr>
              <w:jc w:val="center"/>
              <w:ind w:left="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2,495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Kevin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Pr>
          <w:p>
            <w:pPr>
              <w:spacing w:after="0"/>
              <w:rPr>
                <w:sz w:val="18"/>
                <w:szCs w:val="18"/>
                <w:color w:val="auto"/>
              </w:rPr>
            </w:pPr>
          </w:p>
        </w:tc>
        <w:tc>
          <w:tcPr>
            <w:tcW w:w="1820" w:type="dxa"/>
            <w:vAlign w:val="bottom"/>
            <w:gridSpan w:val="5"/>
            <w:vMerge w:val="restart"/>
          </w:tcPr>
          <w:p>
            <w:pPr>
              <w:jc w:val="center"/>
              <w:ind w:left="688"/>
              <w:spacing w:after="0"/>
              <w:rPr>
                <w:sz w:val="20"/>
                <w:szCs w:val="20"/>
                <w:color w:val="auto"/>
              </w:rPr>
            </w:pPr>
            <w:r>
              <w:rPr>
                <w:rFonts w:ascii="Times New Roman" w:cs="Times New Roman" w:eastAsia="Times New Roman" w:hAnsi="Times New Roman"/>
                <w:sz w:val="17"/>
                <w:szCs w:val="17"/>
                <w:color w:val="0000FF"/>
              </w:rPr>
              <w:t>06/08/2026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jc w:val="center"/>
              <w:ind w:right="30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3,216</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3"/>
            <w:vMerge w:val="restart"/>
          </w:tcPr>
          <w:p>
            <w:pPr>
              <w:jc w:val="center"/>
              <w:ind w:left="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28,039</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3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Carney</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Kevin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Pr>
          <w:p>
            <w:pPr>
              <w:spacing w:after="0"/>
              <w:rPr>
                <w:sz w:val="18"/>
                <w:szCs w:val="18"/>
                <w:color w:val="auto"/>
              </w:rPr>
            </w:pPr>
          </w:p>
        </w:tc>
        <w:tc>
          <w:tcPr>
            <w:tcW w:w="1820" w:type="dxa"/>
            <w:vAlign w:val="bottom"/>
            <w:gridSpan w:val="5"/>
            <w:vMerge w:val="restart"/>
          </w:tcPr>
          <w:p>
            <w:pPr>
              <w:jc w:val="center"/>
              <w:ind w:left="688"/>
              <w:spacing w:after="0"/>
              <w:rPr>
                <w:sz w:val="20"/>
                <w:szCs w:val="20"/>
                <w:color w:val="auto"/>
              </w:rPr>
            </w:pPr>
            <w:r>
              <w:rPr>
                <w:rFonts w:ascii="Times New Roman" w:cs="Times New Roman" w:eastAsia="Times New Roman" w:hAnsi="Times New Roman"/>
                <w:sz w:val="17"/>
                <w:szCs w:val="17"/>
                <w:color w:val="0000FF"/>
              </w:rPr>
              <w:t>06/10/2026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3,000</w:t>
            </w:r>
          </w:p>
        </w:tc>
        <w:tc>
          <w:tcPr>
            <w:tcW w:w="700" w:type="dxa"/>
            <w:vAlign w:val="bottom"/>
            <w:gridSpan w:val="2"/>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540" w:type="dxa"/>
            <w:vAlign w:val="bottom"/>
            <w:gridSpan w:val="4"/>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25,039</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54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Carney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420" w:type="dxa"/>
            <w:vAlign w:val="bottom"/>
            <w:tcBorders>
              <w:bottom w:val="single" w:sz="8" w:color="2C2C2C"/>
            </w:tcBorders>
            <w:gridSpan w:val="3"/>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5"/>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3,216 shares of common stock previously reported as directly owned by the Reporting Person, to the Kevin M. Carney Living Trust, for which the Reporting Person and his spouse serve as co-trustees, and as to which the Reporting Person is the beneficiary. This transfer effected only a change in the form of beneficial ownership from Direct to Indirect, and did not result in any change in the Reporting Person's pecuniary interest in such shares.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sale of shares was completed in connection with his financial planning needs.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Kevin M. Carney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06/10/2026</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8197" TargetMode="External"/><Relationship Id="rId14" Type="http://schemas.openxmlformats.org/officeDocument/2006/relationships/hyperlink" Target="http://www.sec.gov/cgi-bin/browse-edgar?action=getcompany&amp;CIK=00012866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2026-06-10T19:24:51Z</dcterms:created>
  <dcterms:modified xsi:type="dcterms:W3CDTF">2026-06-10T19:24:51Z</dcterms:modified>
</cp:coreProperties>
</file>