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Lincoln Educational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A. Bartholdson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Juniper Investment Company, LLC, 555 Madison Avenue, 24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212-339-8500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Juniper Targeted Opportunity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1,732,966.00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Juniper HF Investors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1,732,966.00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Juniper Targeted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Juniper Targeted Opportunity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Juniper Investment Company,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1,732,966.00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Alexis P. Michas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196,319.00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196,319.00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1,732,966.00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1,929,285.00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A. Bartholdson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212,458.00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62"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Owned by</w:t>
        <w:tab/>
        <w:t>8  Shared Voting Power</w:t>
      </w: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1,732,966.00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212,458.00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1,732,966.00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1,945,424.00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Amendment No.9 (the "Amendment") to the Statement on Schedule 13D is filed by the Reporting Persons as an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amendment to the Schedule 13D Amendment No.8 filed with the Securities and Exchange Commission by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Reporting Persons on February 27, 2026 (the "Schedule 13D/A No.8"), with respect to the Common Stock, no par</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value per share of Lincoln Educational Services Corporation (the "Issuer"). Capitalized terms not defined herein have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the meanings given to such terms in the Schedule 13D.</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no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Lincoln Educational Services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14 Sylvan Way, Suite A, Parsippany, NEW JERSEY , 07054.</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is being filed to report a decrease in the Reporting Persons' beneficial ownership percentage due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sale of Shares by the Reporting Persons. The Reporting Persons beneficially own an aggregate of 2,141,743</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Shares the "Subject Shares").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00"/>
        <w:spacing w:after="0" w:line="247" w:lineRule="auto"/>
        <w:rPr>
          <w:sz w:val="20"/>
          <w:szCs w:val="20"/>
          <w:color w:val="auto"/>
        </w:rPr>
      </w:pPr>
      <w:r>
        <w:rPr>
          <w:rFonts w:ascii="Times New Roman" w:cs="Times New Roman" w:eastAsia="Times New Roman" w:hAnsi="Times New Roman"/>
          <w:sz w:val="21"/>
          <w:szCs w:val="21"/>
          <w:color w:val="auto"/>
        </w:rPr>
        <w:t>This Schedule 13D is being filed by: (i) Juniper Targeted Opportunity Fund, L.P., a Delaware limited partnership ("Juniper Fund"). (ii) Juniper HF Investors II, LLC, a Delaware limited liability company and the general partner of Juniper Fund ("Juniper HF II"). (iii) Juniper Targeted Opportunities, L.P., a Delaware limited partnership ("Juniper Targeted Opportunities"). (v) Juniper Targeted Opportunity Investors, LLC, a Delaware limited liability company and</w:t>
      </w:r>
    </w:p>
    <w:p>
      <w:pPr>
        <w:spacing w:after="0" w:line="2" w:lineRule="exact"/>
        <w:rPr>
          <w:sz w:val="20"/>
          <w:szCs w:val="20"/>
          <w:color w:val="auto"/>
        </w:rPr>
      </w:pPr>
    </w:p>
    <w:p>
      <w:pPr>
        <w:ind w:left="960" w:right="180" w:hanging="912"/>
        <w:spacing w:after="0" w:line="233"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of Juniper Targeted Opportunities ("Juniper TO"). (vi) Juniper Investment Company, LLC, a Delaware limited liability company and the investment advisor to Juniper Fund and Juniper Targeted Opportunities ("Juniper Investment Company"). (vii) Alexis P. Michas, as a managing member of each of Juniper HF II, Juniper TO, and Juniper Investment Company; and (viii) John A. Bartholdson, as a managing member of each of Juniper HF II, Juniper TO, and Juniper Investment Company</w:t>
      </w:r>
    </w:p>
    <w:p>
      <w:pPr>
        <w:spacing w:after="0" w:line="1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555 Madison Avenue, 24th Floor, New York, New York 10022</w:t>
      </w:r>
    </w:p>
    <w:p>
      <w:pPr>
        <w:spacing w:after="0" w:line="44" w:lineRule="exact"/>
        <w:rPr>
          <w:rFonts w:ascii="Times New Roman" w:cs="Times New Roman" w:eastAsia="Times New Roman" w:hAnsi="Times New Roman"/>
          <w:sz w:val="22"/>
          <w:szCs w:val="22"/>
          <w:color w:val="auto"/>
        </w:rPr>
      </w:pPr>
    </w:p>
    <w:p>
      <w:pPr>
        <w:ind w:left="960" w:right="2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each of Juniper Fund and Juniper Targeted Opportunities is to invest in the capital stock of various companies. The principal business of Juniper HF II is to serve as the general partner of Juniper Fund. The</w:t>
      </w:r>
    </w:p>
    <w:p>
      <w:pPr>
        <w:ind w:left="960" w:right="200" w:hanging="912"/>
        <w:spacing w:after="0" w:line="189"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principal business of Juniper TO is to serve as the general partner of Juniper Targeted Opportunities. Juniper Investment Company provides investment advisory and management services and acts as the investment manager of Juniper Fund and Juniper Targeted Opportunities. Each of Messrs. Michas and Bartholdson serves as managing member of Juniper HF II, Juniper TO, and Juniper Investment Company.</w:t>
      </w:r>
    </w:p>
    <w:p>
      <w:pPr>
        <w:spacing w:after="0" w:line="14" w:lineRule="exact"/>
        <w:rPr>
          <w:rFonts w:ascii="Times New Roman" w:cs="Times New Roman" w:eastAsia="Times New Roman" w:hAnsi="Times New Roman"/>
          <w:sz w:val="43"/>
          <w:szCs w:val="43"/>
          <w:color w:val="auto"/>
          <w:vertAlign w:val="subscript"/>
        </w:rPr>
      </w:pPr>
    </w:p>
    <w:p>
      <w:pPr>
        <w:ind w:left="960" w:right="4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none of the Reporting Persons has been convicted in a criminal proceeding (excluding traffic violations or similar misdemeanors).</w:t>
      </w:r>
    </w:p>
    <w:p>
      <w:pPr>
        <w:sectPr>
          <w:pgSz w:w="11900" w:h="16901" w:orient="portrait"/>
          <w:cols w:equalWidth="0" w:num="1">
            <w:col w:w="11240"/>
          </w:cols>
          <w:pgMar w:left="320" w:top="111" w:right="339" w:bottom="0" w:gutter="0" w:footer="0" w:header="0"/>
        </w:sectPr>
      </w:pPr>
    </w:p>
    <w:bookmarkStart w:id="7" w:name="page8"/>
    <w:bookmarkEnd w:id="7"/>
    <w:p>
      <w:pPr>
        <w:ind w:left="920"/>
        <w:spacing w:after="0"/>
        <w:rPr>
          <w:sz w:val="20"/>
          <w:szCs w:val="20"/>
          <w:color w:val="auto"/>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sz w:val="20"/>
          <w:szCs w:val="20"/>
          <w:color w:val="auto"/>
        </w:rPr>
      </w:pPr>
    </w:p>
    <w:p>
      <w:pPr>
        <w:ind w:left="920" w:right="26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Messrs. Michas and Bartholdson is a United States citizen.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920"/>
        <w:spacing w:after="0" w:line="256" w:lineRule="auto"/>
        <w:rPr>
          <w:sz w:val="20"/>
          <w:szCs w:val="20"/>
          <w:color w:val="auto"/>
        </w:rPr>
      </w:pPr>
      <w:r>
        <w:rPr>
          <w:rFonts w:ascii="Times New Roman" w:cs="Times New Roman" w:eastAsia="Times New Roman" w:hAnsi="Times New Roman"/>
          <w:sz w:val="22"/>
          <w:szCs w:val="22"/>
          <w:color w:val="auto"/>
        </w:rPr>
        <w:t>Item 3 is hereby amended and supplemented by adding the following information:As of the date hereof, the Reporting Persons are deemed to beneficially own the Subject Shares as detailed in Items 1 and 5.</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300"/>
        <w:spacing w:after="0" w:line="239" w:lineRule="auto"/>
        <w:rPr>
          <w:sz w:val="20"/>
          <w:szCs w:val="20"/>
          <w:color w:val="auto"/>
        </w:rPr>
      </w:pPr>
      <w:r>
        <w:rPr>
          <w:rFonts w:ascii="Times New Roman" w:cs="Times New Roman" w:eastAsia="Times New Roman" w:hAnsi="Times New Roman"/>
          <w:sz w:val="22"/>
          <w:szCs w:val="22"/>
          <w:color w:val="auto"/>
        </w:rPr>
        <w:t>Item 4 is hereby amended and supplemented by adding the following information.Between February 27, 2026, and June 12, 2026, Juniper Targeted Opportunity Fund, L.P. sold 355,345 shares at an aggregate sale price of approximately $15,580,130, which includes brokerage commissions, in the open market. John A. Bartholdson received an award of 3,515 shares of Restricted Stock valued at $155,000 on May 7, 2026.</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incorporated herein by reference. The percentages of ownership indicated in this Schedule 13D are calculated based on 31,720,728 Shares reported as outstanding as of May 11, 2026 (the "Record Date"), in the Issuer's Quarterly Report on Form 10-Q for the quarterly period ended March 31, 2026, as filed with the United States Securities and Exchange Commission on May 11, 2026. As of the date of this Schedule 13D, the Reporting Persons collectively held an aggregate of 2,141,723 Shares, constituting approximately 6.8% of the Issuer's outstanding Shares as of the Record Date. As of the date of this Schedule 13D, each Reporting Person may be deemed to have direct beneficial ownership of the Shares as follows: (i) Juniper Fund beneficially owned 1,732,966 Shares, constituting approximately 5.5% of the Issuer's outstanding Shares as of the Record Date. (ii) Juniper Targeted Opportunities beneficially owned 0 Shares, constituting approximately 0% of the Issuer's outstanding Shares as of the Record Date. (iii) Juniper HF II, as the general partner of Juniper Fund, may be deemed to own beneficially (as that term is defined in Rule 13d-3 under the Securities Exchange Act of 1934) the 1,732,966 Shares held by Juniper Fund, constituting approximately</w:t>
      </w:r>
    </w:p>
    <w:p>
      <w:pPr>
        <w:spacing w:after="0" w:line="6" w:lineRule="exact"/>
        <w:rPr>
          <w:sz w:val="20"/>
          <w:szCs w:val="20"/>
          <w:color w:val="auto"/>
        </w:rPr>
      </w:pPr>
    </w:p>
    <w:p>
      <w:pPr>
        <w:ind w:left="920" w:right="40"/>
        <w:spacing w:after="0" w:line="241" w:lineRule="auto"/>
        <w:rPr>
          <w:sz w:val="20"/>
          <w:szCs w:val="20"/>
          <w:color w:val="auto"/>
        </w:rPr>
      </w:pPr>
      <w:r>
        <w:rPr>
          <w:rFonts w:ascii="Times New Roman" w:cs="Times New Roman" w:eastAsia="Times New Roman" w:hAnsi="Times New Roman"/>
          <w:sz w:val="21"/>
          <w:szCs w:val="21"/>
          <w:color w:val="auto"/>
        </w:rPr>
        <w:t>5.5% of the Issuer's outstanding Shares as of the Record Date. Juniper HF II disclaims beneficial ownership of such Shares for all other purposes. (iv) Juniper TO, as the general partner of Juniper Targeted Opportunities, may be deemed to own beneficially (as that term is defined in Rule 13d-3 under the Securities Exchange Act of 1934) the 0 Shares held by Juniper Targeted Opportunities, constituting approximately 0% of the Issuer's outstanding Shares as of</w:t>
      </w:r>
    </w:p>
    <w:p>
      <w:pPr>
        <w:spacing w:after="0" w:line="2" w:lineRule="exact"/>
        <w:rPr>
          <w:sz w:val="20"/>
          <w:szCs w:val="20"/>
          <w:color w:val="auto"/>
        </w:rPr>
      </w:pPr>
    </w:p>
    <w:p>
      <w:pPr>
        <w:ind w:left="920" w:right="80" w:hanging="912"/>
        <w:spacing w:after="0" w:line="23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Juniper TO disclaims beneficial ownership of such Shares for all other purposes. (v) Juniper Investment Company, as the investment advisor of Juniper Fund and Juniper Targeted Opportunities, may be deemed to own beneficially (as that term is defined in Rule 13-d under the Securities Exchange Act of 1934) the 1,732,966 Shares collectively and directly held by each of Juniper Fund and Juniper Targeted Opportunities, constituting approximately 5.5% of the Issuer's outstanding Shares as of the Record Date. Juniper Investment Company disclaims beneficial ownership of such Shares for all other purposes. (vi) Mr. Michas, as the managing member of Juniper HF II, Juniper TO, and Juniper Investment Company, may be deemed to own beneficially (as that term is defined in Rule 13d-3 under the Securities Exchange Act of 1934) the 1,732,966 Shares held by Juniper Fund, Juniper Targeted Opportunities, and Juniper Investment Company, constituting approximately 5.5% of the then outstanding Shares. Mr. Michas disclaims beneficial ownership of such Shares for all other purposes. Mr. Michas beneficially owned 196,319 Shares, constituting approximately 0.6% of the Issuer's outstanding Shares as of the Record Date. (vii) Mr. Bartholdson, as the managing member of Juniper HF II, Juniper TO, and Juniper Investment Company, may be deemed to own beneficially (as that term is defined in Rule 13d-3 under the Securities Exchange Act of 1934) the 1,732,966 Shares held by Juniper Fund, Juniper Targeted Opportunities, and Juniper Investment Company, constituting approximately 5.5% of the then outstanding Shares. Mr. Bartholdson disclaims beneficial ownership of such Shares for all other purposes. Mr. Bartholdson beneficially owned 212,458 Shares, constituting approximately 0.6% of the Issuer's outstanding Shares as of the Record Date.</w:t>
      </w:r>
    </w:p>
    <w:p>
      <w:pPr>
        <w:spacing w:after="0" w:line="21" w:lineRule="exact"/>
        <w:rPr>
          <w:rFonts w:ascii="Times New Roman" w:cs="Times New Roman" w:eastAsia="Times New Roman" w:hAnsi="Times New Roman"/>
          <w:sz w:val="22"/>
          <w:szCs w:val="22"/>
          <w:color w:val="auto"/>
        </w:rPr>
      </w:pPr>
    </w:p>
    <w:p>
      <w:pPr>
        <w:ind w:left="920" w:right="1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Juniper Fund has the sole power to vote or direct their respective vote of 1,732,966 Shares and the sole power to dispose or direct the disposition of such Shares. Juniper HF II, Juniper TO, Juniper Investment Company and each of</w:t>
      </w:r>
    </w:p>
    <w:p>
      <w:pPr>
        <w:ind w:left="920" w:right="220" w:hanging="912"/>
        <w:spacing w:after="0" w:line="18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Messrs. Michas and Bartholdson may be deemed to share with Juniper Fund and Juniper Targeted Opportunities, as applicable, the power to vote or to direct the vote and to dispose or to direct the disposition of such Shares. Each of Messrs. Michas and Bartholdson has the sole power to vote or direct their respective vote of 196,319 and 212,458 Shares and the sole power to dispose or direct the disposition of such Shares.</w:t>
      </w:r>
    </w:p>
    <w:p>
      <w:pPr>
        <w:spacing w:after="0" w:line="14" w:lineRule="exact"/>
        <w:rPr>
          <w:rFonts w:ascii="Times New Roman" w:cs="Times New Roman" w:eastAsia="Times New Roman" w:hAnsi="Times New Roman"/>
          <w:sz w:val="43"/>
          <w:szCs w:val="43"/>
          <w:color w:val="auto"/>
          <w:vertAlign w:val="subscript"/>
        </w:rPr>
      </w:pPr>
    </w:p>
    <w:p>
      <w:pPr>
        <w:ind w:left="920" w:right="7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Shares by the Reporting Persons during the past sixty days are set forth in Schedule A attached hereto and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To the knowledge of the Reporting Persons, no person other than the Reporting Persons has the right to receive or the</w:t>
      </w:r>
    </w:p>
    <w:p>
      <w:pPr>
        <w:spacing w:after="0" w:line="25" w:lineRule="exact"/>
        <w:rPr>
          <w:rFonts w:ascii="Times New Roman" w:cs="Times New Roman" w:eastAsia="Times New Roman" w:hAnsi="Times New Roman"/>
          <w:sz w:val="39"/>
          <w:szCs w:val="39"/>
          <w:color w:val="auto"/>
          <w:vertAlign w:val="subscript"/>
        </w:rPr>
      </w:pPr>
    </w:p>
    <w:p>
      <w:pPr>
        <w:ind w:left="920" w:right="54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proceeds from the sale of, the Shares that are the subject of this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55" w:lineRule="auto"/>
        <w:rPr>
          <w:sz w:val="20"/>
          <w:szCs w:val="20"/>
          <w:color w:val="auto"/>
        </w:rPr>
      </w:pPr>
      <w:r>
        <w:rPr>
          <w:rFonts w:ascii="Times New Roman" w:cs="Times New Roman" w:eastAsia="Times New Roman" w:hAnsi="Times New Roman"/>
          <w:sz w:val="21"/>
          <w:szCs w:val="21"/>
          <w:color w:val="auto"/>
        </w:rPr>
        <w:t>The response to Item 3 is incorporated herein by reference.Except as described in this Schedule 13D or incorporated by reference in this Schedule 13D, there are no contracts, arrangements, understandings or relationships (legal or otherwise) between any of the Reporting Persons or between any of the Reporting Persons and any other person with respect to any securities of the Issuer, including, but not limited to, transfer or voting of any securities, finder's fees,</w:t>
      </w:r>
    </w:p>
    <w:p>
      <w:pPr>
        <w:sectPr>
          <w:pgSz w:w="11900" w:h="16838" w:orient="portrait"/>
          <w:cols w:equalWidth="0" w:num="1">
            <w:col w:w="11140"/>
          </w:cols>
          <w:pgMar w:left="360" w:top="139" w:right="399" w:bottom="0" w:gutter="0" w:footer="0" w:header="0"/>
        </w:sectPr>
      </w:pPr>
    </w:p>
    <w:bookmarkStart w:id="8" w:name="page9"/>
    <w:bookmarkEnd w:id="8"/>
    <w:p>
      <w:pPr>
        <w:ind w:left="920" w:right="400"/>
        <w:spacing w:after="0" w:line="256" w:lineRule="auto"/>
        <w:rPr>
          <w:sz w:val="20"/>
          <w:szCs w:val="20"/>
          <w:color w:val="auto"/>
        </w:rPr>
      </w:pPr>
      <w:r>
        <w:rPr>
          <w:rFonts w:ascii="Times New Roman" w:cs="Times New Roman" w:eastAsia="Times New Roman" w:hAnsi="Times New Roman"/>
          <w:sz w:val="22"/>
          <w:szCs w:val="22"/>
          <w:color w:val="auto"/>
        </w:rPr>
        <w:t>joint ventures, loan or option arrangements, puts or calls, guarantees of profits, division of profits or losses, or the giving or withholding of proxies.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Exhibit A: Indemnification Agreement In connection with the appointment of Mr. Bartholdson to the board of directors of the Issuer, Mr., Bartholdson entered into an Indemnification Agreement, dated as of November 14, 2019, with the Issuer pursuant to which the Issuer provided indemnification and insurance coverage to Mr. Bartholdson as director of the board of director of the Issuer. References to and the description of the Indemnification Agreement set forth above in this Item 6 do not purport to be complete and are qualified in their entirety by reference to the full text of the Indemnification Agreement, which is incorporated by reference to Schedule 13D originally filed with the Securities and Exchange Commission by the Reporting Persons on November 22, 2019. Exhibit B: Joint Filing Agreement A Joint Filing Agreement (incorporated by reference herein to Exhibit B of the Schedule 13D Amendment No.1 filed by the Reporting Persons on December 1, 2022). Exhibit C: Schedule of Transactions</w:t>
      </w: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Juniper Targeted Opportunity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Juniper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HF Investors II,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Juniper HF Investors II,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Juniper Targeted Opportunities,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Juniper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Targeted Opportunity 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Juniper Targeted Opportunity Investors,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Juniper Investment Company,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Alexis P. Michas</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Alexis P. Michas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Alexis P. Michas</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John A. Bartholdson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Bartholdson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John A. Bartholdson</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ectPr>
          <w:pgSz w:w="11900" w:h="16838" w:orient="portrait"/>
          <w:cols w:equalWidth="0" w:num="1">
            <w:col w:w="11140"/>
          </w:cols>
          <w:pgMar w:left="360" w:top="111" w:right="399" w:bottom="1440" w:gutter="0" w:footer="0" w:header="0"/>
        </w:sectPr>
      </w:pPr>
    </w:p>
    <w:bookmarkStart w:id="9" w:name="page10"/>
    <w:bookmarkEnd w:id="9"/>
    <w:p>
      <w:pPr>
        <w:ind w:left="10080"/>
        <w:spacing w:after="0"/>
        <w:rPr>
          <w:sz w:val="20"/>
          <w:szCs w:val="20"/>
          <w:color w:val="auto"/>
        </w:rPr>
      </w:pPr>
      <w:r>
        <w:rPr>
          <w:rFonts w:ascii="Times New Roman" w:cs="Times New Roman" w:eastAsia="Times New Roman" w:hAnsi="Times New Roman"/>
          <w:sz w:val="21"/>
          <w:szCs w:val="21"/>
          <w:b w:val="1"/>
          <w:bCs w:val="1"/>
          <w:color w:val="auto"/>
        </w:rPr>
        <w:t>Exhibit 99.C</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Securities of the Issuer During the Past Sixty Days</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80" w:type="dxa"/>
            <w:vAlign w:val="bottom"/>
            <w:tcBorders>
              <w:top w:val="single" w:sz="8" w:color="auto"/>
              <w:left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38"/>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14,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47,836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$51.16</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$51.00</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$51.64</w:t>
            </w:r>
          </w:p>
        </w:tc>
      </w:tr>
      <w:tr>
        <w:trPr>
          <w:trHeight w:val="210"/>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15,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1,985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$50.11</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$50.11</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$50.11</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3,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81,504</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$50.10</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$50.04</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$50.31</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4,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25,208</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$51.13</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$50.60</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$51.29</w:t>
            </w:r>
          </w:p>
        </w:tc>
      </w:tr>
      <w:tr>
        <w:trPr>
          <w:trHeight w:val="210"/>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11,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11,812</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$47.87</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$47.65</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$48.18</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Juniper Targeted Opportunity Fund, L.P.</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12,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37,000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$46.88</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$46.22</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$48.03</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Per Share reported above is a weighted average price. The Shares were sold in multiple transactions at a range of prices as reflected in the table above. Upon request, the Reporting Persons undertake to provide the Issuer, any security holder of the Issuer, or the SEC full information regarding the Shares purchased at each separate price within the ranges set forth above.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80" w:type="dxa"/>
            <w:vAlign w:val="bottom"/>
            <w:tcBorders>
              <w:top w:val="single" w:sz="8" w:color="auto"/>
              <w:left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38"/>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A. Bartholdson</w:t>
            </w:r>
          </w:p>
        </w:tc>
        <w:tc>
          <w:tcPr>
            <w:tcW w:w="2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7, 2026</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3,515</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$44.10</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$44.10</w:t>
            </w: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$44.10</w:t>
            </w: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*John A. Bartholdson received an award of 3,515 shares of Restricted Stock valued at $155,000 on the date of the award based on a price of $44.10 per share, the closing price per share on the date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2026-06-15T17:49:20Z</dcterms:created>
  <dcterms:modified xsi:type="dcterms:W3CDTF">2026-06-15T17:49:20Z</dcterms:modified>
</cp:coreProperties>
</file>