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ind w:left="115" w:right="0" w:hanging="0"/>
        <w:jc w:val="center"/>
        <w:rPr/>
      </w:pPr>
      <w:r>
        <w:rPr/>
      </w:r>
    </w:p>
    <w:p>
      <w:pPr>
        <w:pStyle w:val="TextBody"/>
        <w:bidi w:val="0"/>
        <w:spacing w:before="0" w:after="0"/>
        <w:ind w:left="115" w:right="0" w:hanging="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Pursuant to Section 13 or 15(d) of the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August 10, 2026</w:t>
      </w:r>
    </w:p>
    <w:p>
      <w:pPr>
        <w:pStyle w:val="TextBody"/>
        <w:bidi w:val="0"/>
        <w:spacing w:before="0" w:after="0"/>
        <w:ind w:left="115" w:right="0" w:hanging="0"/>
        <w:jc w:val="center"/>
        <w:rPr>
          <w:rFonts w:ascii="Times New Roman" w:hAnsi="Times New Roman"/>
          <w:b/>
        </w:rPr>
      </w:pPr>
      <w:r>
        <w:rPr>
          <w:rFonts w:ascii="Times New Roman" w:hAnsi="Times New Roman"/>
          <w:b/>
        </w:rPr>
      </w:r>
    </w:p>
    <w:p>
      <w:pPr>
        <w:pStyle w:val="TextBody"/>
        <w:bidi w:val="0"/>
        <w:spacing w:before="0" w:after="0"/>
        <w:ind w:left="115" w:right="0" w:hanging="0"/>
        <w:jc w:val="center"/>
        <w:rPr>
          <w:rFonts w:ascii="Times New Roman" w:hAnsi="Times New Roman"/>
          <w:b/>
          <w:color w:val="000000"/>
          <w:sz w:val="48"/>
          <w:shd w:fill="FFFFFF" w:val="clear"/>
        </w:rPr>
      </w:pPr>
      <w:r>
        <w:rPr>
          <w:rFonts w:ascii="Times New Roman" w:hAnsi="Times New Roman"/>
          <w:b/>
          <w:color w:val="000000"/>
          <w:sz w:val="48"/>
          <w:shd w:fill="FFFFFF" w:val="clear"/>
        </w:rPr>
        <w:t>LINCOLN EDUCATIONAL SERVICES CORPORATION</w:t>
      </w:r>
    </w:p>
    <w:p>
      <w:pPr>
        <w:pStyle w:val="HorizontalLine"/>
        <w:bidi w:val="0"/>
        <w:ind w:left="115" w:right="0" w:hanging="0"/>
        <w:jc w:val="center"/>
        <w:rPr/>
      </w:pPr>
      <w:r>
        <w:rPr/>
      </w:r>
    </w:p>
    <w:p>
      <w:pPr>
        <w:pStyle w:val="TextBody"/>
        <w:bidi w:val="0"/>
        <w:spacing w:before="0" w:after="0"/>
        <w:ind w:left="115" w:right="0" w:hanging="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sz w:val="20"/>
        </w:rPr>
      </w:pPr>
      <w:r>
        <w:rPr>
          <w:sz w:val="20"/>
        </w:rPr>
      </w:r>
    </w:p>
    <w:tbl>
      <w:tblPr>
        <w:tblW w:w="8715" w:type="dxa"/>
        <w:jc w:val="left"/>
        <w:tblInd w:w="0" w:type="dxa"/>
        <w:tblLayout w:type="fixed"/>
        <w:tblCellMar>
          <w:top w:w="0" w:type="dxa"/>
          <w:left w:w="0" w:type="dxa"/>
          <w:bottom w:w="28" w:type="dxa"/>
          <w:right w:w="0" w:type="dxa"/>
        </w:tblCellMar>
      </w:tblPr>
      <w:tblGrid>
        <w:gridCol w:w="3620"/>
        <w:gridCol w:w="60"/>
        <w:gridCol w:w="2210"/>
        <w:gridCol w:w="60"/>
        <w:gridCol w:w="2765"/>
      </w:tblGrid>
      <w:tr>
        <w:trPr/>
        <w:tc>
          <w:tcPr>
            <w:tcW w:w="362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New Jersey</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000-51371</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57-1150621</w:t>
            </w:r>
          </w:p>
        </w:tc>
      </w:tr>
      <w:tr>
        <w:trPr/>
        <w:tc>
          <w:tcPr>
            <w:tcW w:w="362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14 Sylvan Way, Suite A, Parsippany, NJ 07054</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(973) 736-9340</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231F20"/>
          <w:sz w:val="20"/>
          <w:shd w:fill="FFFFFF" w:val="clear"/>
        </w:rPr>
      </w:pPr>
      <w:r>
        <w:rPr>
          <w:rFonts w:ascii="Times New Roman" w:hAnsi="Times New Roman"/>
          <w:color w:val="231F2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6015" w:type="dxa"/>
        <w:jc w:val="left"/>
        <w:tblInd w:w="-15" w:type="dxa"/>
        <w:tblLayout w:type="fixed"/>
        <w:tblCellMar>
          <w:top w:w="28" w:type="dxa"/>
          <w:left w:w="28" w:type="dxa"/>
          <w:bottom w:w="28" w:type="dxa"/>
          <w:right w:w="28" w:type="dxa"/>
        </w:tblCellMar>
      </w:tblPr>
      <w:tblGrid>
        <w:gridCol w:w="2390"/>
        <w:gridCol w:w="845"/>
        <w:gridCol w:w="2780"/>
      </w:tblGrid>
      <w:tr>
        <w:trPr/>
        <w:tc>
          <w:tcPr>
            <w:tcW w:w="23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Title of each class</w:t>
            </w:r>
          </w:p>
        </w:tc>
        <w:tc>
          <w:tcPr>
            <w:tcW w:w="84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Trading</w:t>
            </w:r>
          </w:p>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Symbol(s)</w:t>
            </w:r>
          </w:p>
        </w:tc>
        <w:tc>
          <w:tcPr>
            <w:tcW w:w="278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 xml:space="preserve">Name of each exchange on which </w:t>
            </w:r>
          </w:p>
          <w:p>
            <w:pPr>
              <w:pStyle w:val="TableContents"/>
              <w:bidi w:val="0"/>
              <w:spacing w:before="0" w:after="0"/>
              <w:jc w:val="center"/>
              <w:rPr>
                <w:rFonts w:ascii="Times New Roman" w:hAnsi="Times New Roman"/>
                <w:color w:val="231F20"/>
                <w:sz w:val="20"/>
              </w:rPr>
            </w:pPr>
            <w:r>
              <w:rPr>
                <w:rFonts w:ascii="Times New Roman" w:hAnsi="Times New Roman"/>
                <w:color w:val="231F20"/>
                <w:sz w:val="20"/>
              </w:rPr>
              <w:t>registered</w:t>
            </w:r>
          </w:p>
        </w:tc>
      </w:tr>
      <w:tr>
        <w:trPr/>
        <w:tc>
          <w:tcPr>
            <w:tcW w:w="23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No Par Value</w:t>
            </w:r>
          </w:p>
        </w:tc>
        <w:tc>
          <w:tcPr>
            <w:tcW w:w="8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sz w:val="20"/>
              </w:rPr>
            </w:pPr>
            <w:r>
              <w:rPr>
                <w:sz w:val="20"/>
              </w:rPr>
              <w:t>LINC</w:t>
            </w:r>
          </w:p>
        </w:tc>
        <w:tc>
          <w:tcPr>
            <w:tcW w:w="278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NASDAQ</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547" w:right="0" w:hanging="547"/>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9975"/>
        <w:gridCol w:w="230"/>
      </w:tblGrid>
      <w:tr>
        <w:trPr/>
        <w:tc>
          <w:tcPr>
            <w:tcW w:w="9975" w:type="dxa"/>
            <w:tcBorders/>
            <w:vAlign w:val="center"/>
          </w:tcPr>
          <w:p>
            <w:pPr>
              <w:pStyle w:val="TableContents"/>
              <w:bidi w:val="0"/>
              <w:spacing w:before="0" w:after="283"/>
              <w:jc w:val="both"/>
              <w:rPr/>
            </w:pPr>
            <w:r>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283"/>
              <w:jc w:val="right"/>
              <w:rPr/>
            </w:pPr>
            <w:r>
              <w:rPr/>
              <w: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August 10, 2026, Lincoln Educational Services Corporation. (the “Company”) issued a press release announcing financial results for its second quarter ended June 30, 2026.  A copy of the press release is furnished as Exhibit 99.1 to this Current Report on Form 8-K and incorporated in this Item 2.02 by reference.</w:t>
      </w:r>
    </w:p>
    <w:p>
      <w:pPr>
        <w:pStyle w:val="TextBody"/>
        <w:bidi w:val="0"/>
        <w:spacing w:before="0" w:after="0"/>
        <w:ind w:left="0" w:right="0" w:firstLine="720"/>
        <w:jc w:val="both"/>
        <w:rPr>
          <w:sz w:val="20"/>
        </w:rPr>
      </w:pPr>
      <w:r>
        <w:rPr>
          <w:sz w:val="20"/>
        </w:rPr>
      </w:r>
    </w:p>
    <w:p>
      <w:pPr>
        <w:pStyle w:val="TextBody"/>
        <w:bidi w:val="0"/>
        <w:spacing w:before="0" w:after="0"/>
        <w:ind w:left="0" w:right="0" w:firstLine="720"/>
        <w:jc w:val="both"/>
        <w:rPr>
          <w:color w:val="000000"/>
          <w:shd w:fill="FFFFFF" w:val="clear"/>
        </w:rPr>
      </w:pPr>
      <w:r>
        <w:rPr>
          <w:color w:val="000000"/>
          <w:shd w:fill="FFFFFF" w:val="clear"/>
        </w:rPr>
        <w:t> </w:t>
      </w:r>
      <w:r>
        <w:rPr>
          <w:rFonts w:ascii="Times New Roman" w:hAnsi="Times New Roman"/>
          <w:color w:val="000000"/>
          <w:sz w:val="20"/>
          <w:shd w:fill="FFFFFF" w:val="clear"/>
        </w:rPr>
        <w:t>The information contained under this Item 2.02 in this Current Report on Form 8-K, including Exhibit 99.1, is being furnished and shall not be deemed to be “filed” for the purposes of Section 18 of the Securities Exchange Act of 1934, as amended, or otherwise subject to the liabilities of that Section. Furthermore, the information contained under this Item 2.02 in this Current Report on Form 8-K, including Exhibit 99.1, shall not be deemed to be incorporated by reference into any registration statement or other document filed pursuant to the Securities Act of 1933, as amended, unless specifically identified therein as being incorporated therein by reference.  The furnishing of the information under this Item 2.02 in this Current Report is not intended to, and does not, constitute a determination or admission by the Company that the information contained under this Item 2.02 in this Current Report is material or complete, or that investors should consider this information before making an investment decision with respect to any security of the Company.</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7230" w:type="dxa"/>
        <w:jc w:val="left"/>
        <w:tblInd w:w="0" w:type="dxa"/>
        <w:tblLayout w:type="fixed"/>
        <w:tblCellMar>
          <w:top w:w="0" w:type="dxa"/>
          <w:left w:w="0" w:type="dxa"/>
          <w:bottom w:w="0" w:type="dxa"/>
          <w:right w:w="0" w:type="dxa"/>
        </w:tblCellMar>
      </w:tblPr>
      <w:tblGrid>
        <w:gridCol w:w="245"/>
        <w:gridCol w:w="380"/>
        <w:gridCol w:w="6605"/>
      </w:tblGrid>
      <w:tr>
        <w:trPr/>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6985" w:type="dxa"/>
            <w:gridSpan w:val="2"/>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Exhibits</w:t>
            </w:r>
          </w:p>
        </w:tc>
      </w:tr>
      <w:tr>
        <w:trPr/>
        <w:tc>
          <w:tcPr>
            <w:tcW w:w="2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pPr>
            <w:hyperlink w:anchor="ef20079845_ex99-1.htm">
              <w:r>
                <w:rPr>
                  <w:rStyle w:val="InternetLink"/>
                  <w:rFonts w:ascii="Times New Roman" w:hAnsi="Times New Roman"/>
                  <w:sz w:val="20"/>
                </w:rPr>
                <w:t>99.1</w:t>
              </w:r>
            </w:hyperlink>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of Lincoln Educational Services Corporation dated August 10, 2026</w:t>
            </w:r>
          </w:p>
        </w:tc>
      </w:tr>
      <w:tr>
        <w:trPr/>
        <w:tc>
          <w:tcPr>
            <w:tcW w:w="2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ind w:left="720"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534" w:type="dxa"/>
        <w:jc w:val="left"/>
        <w:tblInd w:w="0" w:type="dxa"/>
        <w:tblLayout w:type="fixed"/>
        <w:tblCellMar>
          <w:top w:w="0" w:type="dxa"/>
          <w:left w:w="0" w:type="dxa"/>
          <w:bottom w:w="0" w:type="dxa"/>
          <w:right w:w="0" w:type="dxa"/>
        </w:tblCellMar>
      </w:tblPr>
      <w:tblGrid>
        <w:gridCol w:w="1895"/>
        <w:gridCol w:w="757"/>
        <w:gridCol w:w="3740"/>
        <w:gridCol w:w="142"/>
      </w:tblGrid>
      <w:tr>
        <w:trPr/>
        <w:tc>
          <w:tcPr>
            <w:tcW w:w="1895" w:type="dxa"/>
            <w:tcBorders/>
            <w:vAlign w:val="center"/>
          </w:tcPr>
          <w:p>
            <w:pPr>
              <w:pStyle w:val="TableContents"/>
              <w:bidi w:val="0"/>
              <w:spacing w:before="0" w:after="283"/>
              <w:jc w:val="left"/>
              <w:rPr/>
            </w:pPr>
            <w:r>
              <w:rPr/>
              <w:t> </w:t>
            </w:r>
          </w:p>
        </w:tc>
        <w:tc>
          <w:tcPr>
            <w:tcW w:w="4639"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LINCOLN EDUCATIONAL SERVICES CORPORATION</w:t>
            </w:r>
          </w:p>
        </w:tc>
      </w:tr>
      <w:tr>
        <w:trPr/>
        <w:tc>
          <w:tcPr>
            <w:tcW w:w="189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3882"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10, 2026</w:t>
            </w:r>
          </w:p>
        </w:tc>
        <w:tc>
          <w:tcPr>
            <w:tcW w:w="757" w:type="dxa"/>
            <w:tcBorders/>
            <w:vAlign w:val="center"/>
          </w:tcPr>
          <w:p>
            <w:pPr>
              <w:pStyle w:val="TableContents"/>
              <w:bidi w:val="0"/>
              <w:spacing w:before="0" w:after="283"/>
              <w:jc w:val="left"/>
              <w:rPr/>
            </w:pPr>
            <w:r>
              <w:rPr/>
              <w:t> </w:t>
            </w:r>
          </w:p>
        </w:tc>
        <w:tc>
          <w:tcPr>
            <w:tcW w:w="3882"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3882"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7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Brian K. Meyers</w:t>
            </w:r>
          </w:p>
        </w:tc>
        <w:tc>
          <w:tcPr>
            <w:tcW w:w="142" w:type="dxa"/>
            <w:tcBorders/>
            <w:vAlign w:val="center"/>
          </w:tcPr>
          <w:p>
            <w:pPr>
              <w:pStyle w:val="TableContents"/>
              <w:bidi w:val="0"/>
              <w:spacing w:before="0" w:after="283"/>
              <w:jc w:val="left"/>
              <w:rPr/>
            </w:pPr>
            <w:r>
              <w:rPr/>
              <w:t> </w:t>
            </w:r>
          </w:p>
        </w:tc>
      </w:tr>
    </w:tbl>
    <w:tbl>
      <w:tblPr>
        <w:tblW w:w="5755" w:type="dxa"/>
        <w:jc w:val="left"/>
        <w:tblInd w:w="0" w:type="dxa"/>
        <w:tblLayout w:type="fixed"/>
        <w:tblCellMar>
          <w:top w:w="0" w:type="dxa"/>
          <w:left w:w="0" w:type="dxa"/>
          <w:bottom w:w="0" w:type="dxa"/>
          <w:right w:w="0" w:type="dxa"/>
        </w:tblCellMar>
      </w:tblPr>
      <w:tblGrid>
        <w:gridCol w:w="60"/>
        <w:gridCol w:w="545"/>
        <w:gridCol w:w="5150"/>
      </w:tblGrid>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K. Meyers</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Financial Officer and Treasurer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79845_ex99-1.htm"/>
      <w:bookmarkStart w:id="1" w:name="ksef20079845_ex991"/>
      <w:bookmarkStart w:id="2" w:name="ef20079845_ex99-1.htm"/>
      <w:bookmarkStart w:id="3" w:name="ksef20079845_ex991"/>
      <w:bookmarkEnd w:id="2"/>
      <w:bookmarkEnd w:id="3"/>
      <w:r>
        <w:br w:type="page"/>
      </w:r>
    </w:p>
    <w:p>
      <w:pPr>
        <w:pStyle w:val="TextBody"/>
        <w:bidi w:val="0"/>
        <w:spacing w:before="0" w:after="0"/>
        <w:jc w:val="right"/>
        <w:rPr>
          <w:rFonts w:ascii="Times New Roman" w:hAnsi="Times New Roman"/>
          <w:b/>
          <w:color w:val="333333"/>
          <w:sz w:val="20"/>
        </w:rPr>
      </w:pPr>
      <w:r>
        <w:rPr>
          <w:rFonts w:ascii="Times New Roman" w:hAnsi="Times New Roman"/>
          <w:b/>
          <w:color w:val="333333"/>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333333"/>
          <w:sz w:val="20"/>
        </w:rPr>
      </w:pPr>
      <w:r>
        <w:rPr>
          <w:rFonts w:ascii="Times New Roman" w:hAnsi="Times New Roman"/>
          <w:b/>
          <w:color w:val="333333"/>
          <w:sz w:val="20"/>
        </w:rPr>
        <w:t>Lincoln Educational Services Reports Strong Second Quarter Financial Results; Reiterates Full Year Financial Guidance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Conference Call Today, at 10:00 a.m. Eastern Standard Time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PARSIPPANY, N.J., August 10, 2026 </w:t>
      </w:r>
      <w:r>
        <w:rPr>
          <w:rFonts w:ascii="Times New Roman" w:hAnsi="Times New Roman"/>
          <w:color w:val="000000"/>
          <w:sz w:val="20"/>
        </w:rPr>
        <w:t>-- Lincoln Educational Services Corporation (Nasdaq: LINC) today reported financial results for the second quarter ended June 30, 2026, as well as recent business developments.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Financial and Operational Highlights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(Quarter ended June 30, 2026, compared to quarter ended June 30, 2025, unless otherwise noted)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e5dbf359f5f94ebb9923a119da454ee9"/>
      <w:bookmarkStart w:id="5" w:name="ze5dbf359f5f94ebb9923a119da454ee9"/>
      <w:bookmarkEnd w:id="5"/>
    </w:p>
    <w:tbl>
      <w:tblPr>
        <w:tblW w:w="5410" w:type="dxa"/>
        <w:jc w:val="left"/>
        <w:tblInd w:w="0" w:type="dxa"/>
        <w:tblLayout w:type="fixed"/>
        <w:tblCellMar>
          <w:top w:w="0" w:type="dxa"/>
          <w:left w:w="0" w:type="dxa"/>
          <w:bottom w:w="0" w:type="dxa"/>
          <w:right w:w="0" w:type="dxa"/>
        </w:tblCellMar>
      </w:tblPr>
      <w:tblGrid>
        <w:gridCol w:w="125"/>
        <w:gridCol w:w="5285"/>
      </w:tblGrid>
      <w:tr>
        <w:trPr/>
        <w:tc>
          <w:tcPr>
            <w:tcW w:w="125"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increased 22.4% to $142.6 million from $116.5 million</w:t>
            </w:r>
          </w:p>
        </w:tc>
      </w:tr>
    </w:tbl>
    <w:p>
      <w:pPr>
        <w:pStyle w:val="Normal"/>
        <w:bidi w:val="0"/>
        <w:spacing w:before="0" w:after="0"/>
        <w:jc w:val="left"/>
        <w:rPr>
          <w:sz w:val="4"/>
          <w:szCs w:val="4"/>
        </w:rPr>
      </w:pPr>
      <w:r>
        <w:rPr>
          <w:sz w:val="4"/>
          <w:szCs w:val="4"/>
        </w:rPr>
      </w:r>
      <w:bookmarkStart w:id="6" w:name="z3e3bd60733e24ea98af2299338099570"/>
      <w:bookmarkStart w:id="7" w:name="z3e3bd60733e24ea98af2299338099570"/>
      <w:bookmarkEnd w:id="7"/>
    </w:p>
    <w:tbl>
      <w:tblPr>
        <w:tblW w:w="5965" w:type="dxa"/>
        <w:jc w:val="left"/>
        <w:tblInd w:w="0" w:type="dxa"/>
        <w:tblLayout w:type="fixed"/>
        <w:tblCellMar>
          <w:top w:w="0" w:type="dxa"/>
          <w:left w:w="0" w:type="dxa"/>
          <w:bottom w:w="0" w:type="dxa"/>
          <w:right w:w="0" w:type="dxa"/>
        </w:tblCellMar>
      </w:tblPr>
      <w:tblGrid>
        <w:gridCol w:w="125"/>
        <w:gridCol w:w="5840"/>
      </w:tblGrid>
      <w:tr>
        <w:trPr/>
        <w:tc>
          <w:tcPr>
            <w:tcW w:w="125"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Adjusted EBITDA increased 42.4% to $12.7 million from $8.9 million1</w:t>
            </w:r>
          </w:p>
        </w:tc>
      </w:tr>
    </w:tbl>
    <w:p>
      <w:pPr>
        <w:pStyle w:val="Normal"/>
        <w:bidi w:val="0"/>
        <w:spacing w:before="0" w:after="0"/>
        <w:jc w:val="left"/>
        <w:rPr>
          <w:sz w:val="4"/>
          <w:szCs w:val="4"/>
        </w:rPr>
      </w:pPr>
      <w:r>
        <w:rPr>
          <w:sz w:val="4"/>
          <w:szCs w:val="4"/>
        </w:rPr>
      </w:r>
      <w:bookmarkStart w:id="8" w:name="z6aa7c5ccd1ee494e8f691635cfed1813"/>
      <w:bookmarkStart w:id="9" w:name="z6aa7c5ccd1ee494e8f691635cfed1813"/>
      <w:bookmarkEnd w:id="9"/>
    </w:p>
    <w:tbl>
      <w:tblPr>
        <w:tblW w:w="7525" w:type="dxa"/>
        <w:jc w:val="left"/>
        <w:tblInd w:w="0" w:type="dxa"/>
        <w:tblLayout w:type="fixed"/>
        <w:tblCellMar>
          <w:top w:w="0" w:type="dxa"/>
          <w:left w:w="0" w:type="dxa"/>
          <w:bottom w:w="0" w:type="dxa"/>
          <w:right w:w="0" w:type="dxa"/>
        </w:tblCellMar>
      </w:tblPr>
      <w:tblGrid>
        <w:gridCol w:w="125"/>
        <w:gridCol w:w="7400"/>
      </w:tblGrid>
      <w:tr>
        <w:trPr/>
        <w:tc>
          <w:tcPr>
            <w:tcW w:w="125"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from operating activities improved to $22.1 million generated versus $0.3 million</w:t>
            </w:r>
          </w:p>
        </w:tc>
      </w:tr>
    </w:tbl>
    <w:p>
      <w:pPr>
        <w:pStyle w:val="Normal"/>
        <w:bidi w:val="0"/>
        <w:spacing w:before="0" w:after="0"/>
        <w:jc w:val="left"/>
        <w:rPr>
          <w:sz w:val="4"/>
          <w:szCs w:val="4"/>
        </w:rPr>
      </w:pPr>
      <w:r>
        <w:rPr>
          <w:sz w:val="4"/>
          <w:szCs w:val="4"/>
        </w:rPr>
      </w:r>
      <w:bookmarkStart w:id="10" w:name="zff1033a47fa74802b33af6972a9546a4"/>
      <w:bookmarkStart w:id="11" w:name="zff1033a47fa74802b33af6972a9546a4"/>
      <w:bookmarkEnd w:id="11"/>
    </w:p>
    <w:tbl>
      <w:tblPr>
        <w:tblW w:w="5620" w:type="dxa"/>
        <w:jc w:val="left"/>
        <w:tblInd w:w="0" w:type="dxa"/>
        <w:tblLayout w:type="fixed"/>
        <w:tblCellMar>
          <w:top w:w="0" w:type="dxa"/>
          <w:left w:w="0" w:type="dxa"/>
          <w:bottom w:w="0" w:type="dxa"/>
          <w:right w:w="0" w:type="dxa"/>
        </w:tblCellMar>
      </w:tblPr>
      <w:tblGrid>
        <w:gridCol w:w="125"/>
        <w:gridCol w:w="5495"/>
      </w:tblGrid>
      <w:tr>
        <w:trPr/>
        <w:tc>
          <w:tcPr>
            <w:tcW w:w="125" w:type="dxa"/>
            <w:tcBorders/>
            <w:vAlign w:val="center"/>
          </w:tcPr>
          <w:p>
            <w:pPr>
              <w:pStyle w:val="TableContents"/>
              <w:bidi w:val="0"/>
              <w:spacing w:before="0" w:after="283"/>
              <w:jc w:val="left"/>
              <w:rPr>
                <w:color w:val="000000"/>
              </w:rPr>
            </w:pPr>
            <w:r>
              <w:rPr>
                <w:color w:val="000000"/>
              </w:rPr>
              <w:t>•</w:t>
            </w:r>
          </w:p>
        </w:tc>
        <w:tc>
          <w:tcPr>
            <w:tcW w:w="549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color w:val="000000"/>
                <w:sz w:val="20"/>
              </w:rPr>
              <w:t>Total liquidity as of June 30, 2026 of approximately $143 million</w:t>
            </w:r>
            <w:r>
              <w:rPr>
                <w:rFonts w:ascii="Times New Roman" w:hAnsi="Times New Roman"/>
                <w:sz w:val="20"/>
              </w:rPr>
              <w:t>1</w:t>
            </w:r>
          </w:p>
        </w:tc>
      </w:tr>
    </w:tbl>
    <w:p>
      <w:pPr>
        <w:pStyle w:val="Normal"/>
        <w:bidi w:val="0"/>
        <w:spacing w:before="0" w:after="0"/>
        <w:jc w:val="left"/>
        <w:rPr>
          <w:sz w:val="4"/>
          <w:szCs w:val="4"/>
        </w:rPr>
      </w:pPr>
      <w:r>
        <w:rPr>
          <w:sz w:val="4"/>
          <w:szCs w:val="4"/>
        </w:rPr>
      </w:r>
      <w:bookmarkStart w:id="12" w:name="z20b0b779c9e343869424ae3b9e44c255"/>
      <w:bookmarkStart w:id="13" w:name="z20b0b779c9e343869424ae3b9e44c255"/>
      <w:bookmarkEnd w:id="13"/>
    </w:p>
    <w:tbl>
      <w:tblPr>
        <w:tblW w:w="7975" w:type="dxa"/>
        <w:jc w:val="left"/>
        <w:tblInd w:w="0" w:type="dxa"/>
        <w:tblLayout w:type="fixed"/>
        <w:tblCellMar>
          <w:top w:w="0" w:type="dxa"/>
          <w:left w:w="0" w:type="dxa"/>
          <w:bottom w:w="0" w:type="dxa"/>
          <w:right w:w="0" w:type="dxa"/>
        </w:tblCellMar>
      </w:tblPr>
      <w:tblGrid>
        <w:gridCol w:w="125"/>
        <w:gridCol w:w="7850"/>
      </w:tblGrid>
      <w:tr>
        <w:trPr/>
        <w:tc>
          <w:tcPr>
            <w:tcW w:w="125"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Ending student population rose by 10.4% to approximately 18,900, an increase of nearly 1,8002</w:t>
            </w:r>
          </w:p>
        </w:tc>
      </w:tr>
    </w:tbl>
    <w:p>
      <w:pPr>
        <w:pStyle w:val="Normal"/>
        <w:bidi w:val="0"/>
        <w:spacing w:before="0" w:after="0"/>
        <w:jc w:val="left"/>
        <w:rPr>
          <w:sz w:val="4"/>
          <w:szCs w:val="4"/>
        </w:rPr>
      </w:pPr>
      <w:r>
        <w:rPr>
          <w:sz w:val="4"/>
          <w:szCs w:val="4"/>
        </w:rPr>
      </w:r>
      <w:bookmarkStart w:id="14" w:name="z06e8e22abb98453bb07501fc7f8488be"/>
      <w:bookmarkStart w:id="15" w:name="z06e8e22abb98453bb07501fc7f8488be"/>
      <w:bookmarkEnd w:id="15"/>
    </w:p>
    <w:tbl>
      <w:tblPr>
        <w:tblW w:w="7480" w:type="dxa"/>
        <w:jc w:val="left"/>
        <w:tblInd w:w="0" w:type="dxa"/>
        <w:tblLayout w:type="fixed"/>
        <w:tblCellMar>
          <w:top w:w="0" w:type="dxa"/>
          <w:left w:w="0" w:type="dxa"/>
          <w:bottom w:w="0" w:type="dxa"/>
          <w:right w:w="0" w:type="dxa"/>
        </w:tblCellMar>
      </w:tblPr>
      <w:tblGrid>
        <w:gridCol w:w="125"/>
        <w:gridCol w:w="7355"/>
      </w:tblGrid>
      <w:tr>
        <w:trPr/>
        <w:tc>
          <w:tcPr>
            <w:tcW w:w="125" w:type="dxa"/>
            <w:tcBorders/>
            <w:vAlign w:val="center"/>
          </w:tcPr>
          <w:p>
            <w:pPr>
              <w:pStyle w:val="TableContents"/>
              <w:bidi w:val="0"/>
              <w:spacing w:before="0" w:after="283"/>
              <w:jc w:val="left"/>
              <w:rPr>
                <w:color w:val="000000"/>
              </w:rPr>
            </w:pPr>
            <w:r>
              <w:rPr>
                <w:color w:val="000000"/>
              </w:rPr>
              <w:t>•</w:t>
            </w:r>
          </w:p>
        </w:tc>
        <w:tc>
          <w:tcPr>
            <w:tcW w:w="735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Student starts increased 1%; Full-year student start growth guidance of 10-14% reiterated2</w:t>
            </w:r>
          </w:p>
        </w:tc>
      </w:tr>
    </w:tbl>
    <w:p>
      <w:pPr>
        <w:pStyle w:val="Normal"/>
        <w:bidi w:val="0"/>
        <w:spacing w:before="0" w:after="0"/>
        <w:jc w:val="left"/>
        <w:rPr>
          <w:sz w:val="4"/>
          <w:szCs w:val="4"/>
        </w:rPr>
      </w:pPr>
      <w:r>
        <w:rPr>
          <w:sz w:val="4"/>
          <w:szCs w:val="4"/>
        </w:rPr>
      </w:r>
      <w:bookmarkStart w:id="16" w:name="z2f58297721e5466ca596068dbb009306"/>
      <w:bookmarkStart w:id="17" w:name="z2f58297721e5466ca596068dbb009306"/>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Reiterated all other financial guidance for the full year while raising capital expenditure guidance to support the new Suitland, Maryland campus and the acquisition of the Melrose Park, Illinois campus property</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Year-to-Date 2026 Financial Highlights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(Six months ended June 30, 2026, compared to June 30, 2025, unless otherwise noted)</w:t>
      </w:r>
    </w:p>
    <w:p>
      <w:pPr>
        <w:pStyle w:val="TextBody"/>
        <w:bidi w:val="0"/>
        <w:spacing w:before="0" w:after="0"/>
        <w:ind w:left="60" w:right="0" w:hanging="0"/>
        <w:jc w:val="left"/>
        <w:rPr>
          <w:sz w:val="20"/>
        </w:rPr>
      </w:pPr>
      <w:r>
        <w:rPr>
          <w:sz w:val="20"/>
        </w:rPr>
      </w:r>
    </w:p>
    <w:p>
      <w:pPr>
        <w:pStyle w:val="Normal"/>
        <w:bidi w:val="0"/>
        <w:spacing w:before="0" w:after="0"/>
        <w:jc w:val="left"/>
        <w:rPr>
          <w:sz w:val="4"/>
          <w:szCs w:val="4"/>
        </w:rPr>
      </w:pPr>
      <w:r>
        <w:rPr>
          <w:sz w:val="4"/>
          <w:szCs w:val="4"/>
        </w:rPr>
      </w:r>
      <w:bookmarkStart w:id="18" w:name="z9ab44fd723984aa49d1bc35e191bdedf"/>
      <w:bookmarkStart w:id="19" w:name="z9ab44fd723984aa49d1bc35e191bdedf"/>
      <w:bookmarkEnd w:id="19"/>
    </w:p>
    <w:tbl>
      <w:tblPr>
        <w:tblW w:w="5140" w:type="dxa"/>
        <w:jc w:val="left"/>
        <w:tblInd w:w="0" w:type="dxa"/>
        <w:tblLayout w:type="fixed"/>
        <w:tblCellMar>
          <w:top w:w="0" w:type="dxa"/>
          <w:left w:w="0" w:type="dxa"/>
          <w:bottom w:w="0" w:type="dxa"/>
          <w:right w:w="0" w:type="dxa"/>
        </w:tblCellMar>
      </w:tblPr>
      <w:tblGrid>
        <w:gridCol w:w="125"/>
        <w:gridCol w:w="5015"/>
      </w:tblGrid>
      <w:tr>
        <w:trPr/>
        <w:tc>
          <w:tcPr>
            <w:tcW w:w="125" w:type="dxa"/>
            <w:tcBorders/>
            <w:vAlign w:val="center"/>
          </w:tcPr>
          <w:p>
            <w:pPr>
              <w:pStyle w:val="TableContents"/>
              <w:bidi w:val="0"/>
              <w:spacing w:before="0" w:after="283"/>
              <w:jc w:val="left"/>
              <w:rPr>
                <w:color w:val="000000"/>
              </w:rPr>
            </w:pPr>
            <w:r>
              <w:rPr>
                <w:color w:val="000000"/>
              </w:rPr>
              <w:t>•</w:t>
            </w:r>
          </w:p>
        </w:tc>
        <w:tc>
          <w:tcPr>
            <w:tcW w:w="5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 increased $52.5 million, or 22.5% to $286.5 million</w:t>
            </w:r>
          </w:p>
        </w:tc>
      </w:tr>
    </w:tbl>
    <w:p>
      <w:pPr>
        <w:pStyle w:val="Normal"/>
        <w:bidi w:val="0"/>
        <w:spacing w:before="0" w:after="0"/>
        <w:jc w:val="left"/>
        <w:rPr>
          <w:sz w:val="4"/>
          <w:szCs w:val="4"/>
        </w:rPr>
      </w:pPr>
      <w:r>
        <w:rPr>
          <w:sz w:val="4"/>
          <w:szCs w:val="4"/>
        </w:rPr>
      </w:r>
      <w:bookmarkStart w:id="20" w:name="z38cbcd469cae434baaeee9262132eecc"/>
      <w:bookmarkStart w:id="21" w:name="z38cbcd469cae434baaeee9262132eecc"/>
      <w:bookmarkEnd w:id="21"/>
    </w:p>
    <w:tbl>
      <w:tblPr>
        <w:tblW w:w="6070" w:type="dxa"/>
        <w:jc w:val="left"/>
        <w:tblInd w:w="0" w:type="dxa"/>
        <w:tblLayout w:type="fixed"/>
        <w:tblCellMar>
          <w:top w:w="0" w:type="dxa"/>
          <w:left w:w="0" w:type="dxa"/>
          <w:bottom w:w="0" w:type="dxa"/>
          <w:right w:w="0" w:type="dxa"/>
        </w:tblCellMar>
      </w:tblPr>
      <w:tblGrid>
        <w:gridCol w:w="125"/>
        <w:gridCol w:w="5945"/>
      </w:tblGrid>
      <w:tr>
        <w:trPr/>
        <w:tc>
          <w:tcPr>
            <w:tcW w:w="125" w:type="dxa"/>
            <w:tcBorders/>
            <w:vAlign w:val="center"/>
          </w:tcPr>
          <w:p>
            <w:pPr>
              <w:pStyle w:val="TableContents"/>
              <w:bidi w:val="0"/>
              <w:spacing w:before="0" w:after="283"/>
              <w:jc w:val="left"/>
              <w:rPr>
                <w:color w:val="000000"/>
              </w:rPr>
            </w:pPr>
            <w:r>
              <w:rPr>
                <w:color w:val="000000"/>
              </w:rPr>
              <w:t>•</w:t>
            </w:r>
          </w:p>
        </w:tc>
        <w:tc>
          <w:tcPr>
            <w:tcW w:w="5945"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Adjusted EBITDA increased 62.9% to $28.2 million from $17.3 million1</w:t>
            </w:r>
          </w:p>
        </w:tc>
      </w:tr>
    </w:tbl>
    <w:p>
      <w:pPr>
        <w:pStyle w:val="Normal"/>
        <w:bidi w:val="0"/>
        <w:spacing w:before="0" w:after="0"/>
        <w:jc w:val="left"/>
        <w:rPr>
          <w:sz w:val="4"/>
          <w:szCs w:val="4"/>
        </w:rPr>
      </w:pPr>
      <w:r>
        <w:rPr>
          <w:sz w:val="4"/>
          <w:szCs w:val="4"/>
        </w:rPr>
      </w:r>
      <w:bookmarkStart w:id="22" w:name="zda8e7563805345f195353a3057e22a5b"/>
      <w:bookmarkStart w:id="23" w:name="zda8e7563805345f195353a3057e22a5b"/>
      <w:bookmarkEnd w:id="23"/>
    </w:p>
    <w:tbl>
      <w:tblPr>
        <w:tblW w:w="7255" w:type="dxa"/>
        <w:jc w:val="left"/>
        <w:tblInd w:w="0" w:type="dxa"/>
        <w:tblLayout w:type="fixed"/>
        <w:tblCellMar>
          <w:top w:w="0" w:type="dxa"/>
          <w:left w:w="0" w:type="dxa"/>
          <w:bottom w:w="0" w:type="dxa"/>
          <w:right w:w="0" w:type="dxa"/>
        </w:tblCellMar>
      </w:tblPr>
      <w:tblGrid>
        <w:gridCol w:w="125"/>
        <w:gridCol w:w="7130"/>
      </w:tblGrid>
      <w:tr>
        <w:trPr/>
        <w:tc>
          <w:tcPr>
            <w:tcW w:w="125" w:type="dxa"/>
            <w:tcBorders/>
            <w:vAlign w:val="center"/>
          </w:tcPr>
          <w:p>
            <w:pPr>
              <w:pStyle w:val="TableContents"/>
              <w:bidi w:val="0"/>
              <w:spacing w:before="0" w:after="283"/>
              <w:jc w:val="left"/>
              <w:rPr>
                <w:color w:val="000000"/>
              </w:rPr>
            </w:pPr>
            <w:r>
              <w:rPr>
                <w:color w:val="000000"/>
              </w:rPr>
              <w:t>•</w:t>
            </w:r>
          </w:p>
        </w:tc>
        <w:tc>
          <w:tcPr>
            <w:tcW w:w="713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Average student population rose by 16.3% to over 18,300, an increase of almost 2,6002</w:t>
            </w:r>
          </w:p>
        </w:tc>
      </w:tr>
    </w:tbl>
    <w:p>
      <w:pPr>
        <w:pStyle w:val="Normal"/>
        <w:bidi w:val="0"/>
        <w:spacing w:before="0" w:after="0"/>
        <w:jc w:val="left"/>
        <w:rPr>
          <w:sz w:val="4"/>
          <w:szCs w:val="4"/>
        </w:rPr>
      </w:pPr>
      <w:r>
        <w:rPr>
          <w:sz w:val="4"/>
          <w:szCs w:val="4"/>
        </w:rPr>
      </w:r>
      <w:bookmarkStart w:id="24" w:name="z2146d37b20594c32a4ea478a1840fc84"/>
      <w:bookmarkStart w:id="25" w:name="z2146d37b20594c32a4ea478a1840fc84"/>
      <w:bookmarkEnd w:id="25"/>
    </w:p>
    <w:tbl>
      <w:tblPr>
        <w:tblW w:w="2365" w:type="dxa"/>
        <w:jc w:val="left"/>
        <w:tblInd w:w="0" w:type="dxa"/>
        <w:tblLayout w:type="fixed"/>
        <w:tblCellMar>
          <w:top w:w="0" w:type="dxa"/>
          <w:left w:w="0" w:type="dxa"/>
          <w:bottom w:w="0" w:type="dxa"/>
          <w:right w:w="0" w:type="dxa"/>
        </w:tblCellMar>
      </w:tblPr>
      <w:tblGrid>
        <w:gridCol w:w="125"/>
        <w:gridCol w:w="2240"/>
      </w:tblGrid>
      <w:tr>
        <w:trPr/>
        <w:tc>
          <w:tcPr>
            <w:tcW w:w="125" w:type="dxa"/>
            <w:tcBorders/>
            <w:vAlign w:val="center"/>
          </w:tcPr>
          <w:p>
            <w:pPr>
              <w:pStyle w:val="TableContents"/>
              <w:bidi w:val="0"/>
              <w:spacing w:before="0" w:after="283"/>
              <w:jc w:val="left"/>
              <w:rPr>
                <w:color w:val="000000"/>
              </w:rPr>
            </w:pPr>
            <w:r>
              <w:rPr>
                <w:color w:val="000000"/>
              </w:rPr>
              <w:t>•</w:t>
            </w:r>
          </w:p>
        </w:tc>
        <w:tc>
          <w:tcPr>
            <w:tcW w:w="224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rPr>
              <w:t>Student starts grew by 9%2</w:t>
            </w:r>
          </w:p>
        </w:tc>
      </w:tr>
    </w:tbl>
    <w:p>
      <w:pPr>
        <w:pStyle w:val="TextBody"/>
        <w:bidi w:val="0"/>
        <w:spacing w:before="0" w:after="0"/>
        <w:jc w:val="left"/>
        <w:rPr>
          <w:sz w:val="20"/>
        </w:rPr>
      </w:pPr>
      <w:r>
        <w:rPr>
          <w:sz w:val="20"/>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w:t>
      </w:r>
      <w:r>
        <w:rPr>
          <w:rFonts w:ascii="Times New Roman" w:hAnsi="Times New Roman"/>
          <w:i/>
          <w:color w:val="000000"/>
          <w:sz w:val="20"/>
        </w:rPr>
        <w:t>A complete listing of Lincoln's non-GAAP measures, along with descriptions and reconciliations to the corresponding GAAP measures, is included at the end of this release.</w:t>
      </w:r>
    </w:p>
    <w:p>
      <w:pPr>
        <w:pStyle w:val="TextBody"/>
        <w:bidi w:val="0"/>
        <w:spacing w:before="0" w:after="0"/>
        <w:jc w:val="left"/>
        <w:rPr>
          <w:sz w:val="20"/>
        </w:rPr>
      </w:pPr>
      <w:r>
        <w:rPr>
          <w:sz w:val="20"/>
        </w:rPr>
      </w:r>
    </w:p>
    <w:p>
      <w:pPr>
        <w:pStyle w:val="TextBody"/>
        <w:bidi w:val="0"/>
        <w:spacing w:lineRule="auto" w:line="240" w:before="0" w:after="0"/>
        <w:jc w:val="left"/>
        <w:rPr>
          <w:color w:val="000000"/>
        </w:rPr>
      </w:pPr>
      <w:r>
        <w:rPr>
          <w:color w:val="000000"/>
        </w:rPr>
        <w:t> </w:t>
      </w:r>
      <w:r>
        <w:rPr>
          <w:rFonts w:ascii="Times New Roman" w:hAnsi="Times New Roman"/>
          <w:color w:val="000000"/>
          <w:sz w:val="20"/>
        </w:rPr>
        <w:t>2 </w:t>
      </w:r>
      <w:r>
        <w:rPr>
          <w:rFonts w:ascii="Times New Roman" w:hAnsi="Times New Roman"/>
          <w:i/>
          <w:color w:val="000000"/>
          <w:sz w:val="20"/>
        </w:rPr>
        <w:t>2025 figures include 2,764 student starts on July 1, 2025, to align with comparable student start activity in the current year, during the last week of June 2026, returning to the Company’s typical start schedule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Recent Business Developments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81042750819f44dca370f4bc4177a87a"/>
      <w:bookmarkStart w:id="27" w:name="z81042750819f44dca370f4bc4177a87a"/>
      <w:bookmarkEnd w:id="2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June, the Company signed a lease in Suitland, Maryland - its second campus serving the metropolitan Washington, D.C. area and the first to deploy a new focused-program campus model - offering Electrical and HVAC training, with an expected opening in the fourth quarter of 2027.</w:t>
            </w:r>
          </w:p>
        </w:tc>
      </w:tr>
    </w:tbl>
    <w:p>
      <w:pPr>
        <w:pStyle w:val="Normal"/>
        <w:bidi w:val="0"/>
        <w:spacing w:before="0" w:after="0"/>
        <w:jc w:val="left"/>
        <w:rPr>
          <w:sz w:val="4"/>
          <w:szCs w:val="4"/>
        </w:rPr>
      </w:pPr>
      <w:r>
        <w:rPr>
          <w:sz w:val="4"/>
          <w:szCs w:val="4"/>
        </w:rPr>
      </w:r>
      <w:bookmarkStart w:id="28" w:name="zcb0e245a2ee546c4b21a4983b79332f4"/>
      <w:bookmarkStart w:id="29" w:name="zcb0e245a2ee546c4b21a4983b79332f4"/>
      <w:bookmarkEnd w:id="2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July, the Company completed the acquisition of its previously leased Melrose Park, Illinois campus property for $18.8 million.</w:t>
            </w:r>
          </w:p>
        </w:tc>
      </w:tr>
    </w:tbl>
    <w:p>
      <w:pPr>
        <w:pStyle w:val="Normal"/>
        <w:bidi w:val="0"/>
        <w:spacing w:before="0" w:after="0"/>
        <w:jc w:val="left"/>
        <w:rPr>
          <w:sz w:val="4"/>
          <w:szCs w:val="4"/>
        </w:rPr>
      </w:pPr>
      <w:r>
        <w:rPr>
          <w:sz w:val="4"/>
          <w:szCs w:val="4"/>
        </w:rPr>
      </w:r>
      <w:bookmarkStart w:id="30" w:name="z07c9a80c293149af978748d36842430a"/>
      <w:bookmarkStart w:id="31" w:name="z07c9a80c293149af978748d36842430a"/>
      <w:bookmarkEnd w:id="3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Melrose Park, Illinois campus was named one of “America’s Top Vocational Schools” by USA Today, marking the second consecutive year receiving this distinction.</w:t>
            </w:r>
          </w:p>
        </w:tc>
      </w:tr>
    </w:tbl>
    <w:p>
      <w:pPr>
        <w:pStyle w:val="Normal"/>
        <w:bidi w:val="0"/>
        <w:spacing w:before="0" w:after="0"/>
        <w:jc w:val="left"/>
        <w:rPr>
          <w:sz w:val="4"/>
          <w:szCs w:val="4"/>
        </w:rPr>
      </w:pPr>
      <w:r>
        <w:rPr>
          <w:sz w:val="4"/>
          <w:szCs w:val="4"/>
        </w:rPr>
      </w:r>
      <w:bookmarkStart w:id="32" w:name="z3bdef3b283414150bb3be57865a40b1a"/>
      <w:bookmarkStart w:id="33" w:name="z3bdef3b283414150bb3be57865a40b1a"/>
      <w:bookmarkEnd w:id="3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Grand Prairie, Texas campus was named a “School of Excellence” by the Accrediting Commission of Career Schools and Colleges, recognizing the campus's outstanding performance during its accreditation renewal.</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During the second quarter and first half of the year, Lincoln continued to execute our mission of providing superior education and training to our students for high in-demand careers and generated strong operating results. Our performance and current third quarter trends lead to our reiterating our full year 2026 financial guidance,” said Scott Shaw, President &amp; CEO.</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Employer demand for our graduates remains strong, and awareness of career opportunities in the skilled trades continues to grow. Following nearly 20% student start growth in the first quarter, we expected second-quarter growth to moderate to approximately half this rate and enrollment for the quarter did grow at approximately nine percent. However, our start growth for the quarter slowed to one percent, as fewer enrolled students than expected attended the first day of class.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during the quarter, we observed changes in the student decision-making process that affected conversion from enrollment to start. We have taken, and continue to take, actions to address these trends and believe they are reaccelerating growth in new student starts as our August class is expected to be one of the largest in our history and we remain confident in our guidance for full-year student start growth of 10% to 14%.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contributing factor to August’s projected strong starts is our re-invigorated high school recruiting platform.  Last summer we started an overhaul and expansion of our high school recruiting team, given renewed interest by students, parents and even guidance counselors in the skilled trades. While we see improvements this year from these investments, we expect even more growth next year as the teams build on their relationships and reach even more prospective students.</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Our prior investments which have created a more efficient and scalable business model have continued to drive our operating efficiency and financial results as we have grown our revenues by over 22% and our Adjusted EBITDA by over 60% year to date, while continuing to make investments in our future growth and delivering superior student outcomes.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"We're excited about the potential for our focused-program strategy, beginning with our new Suitland campus, which will expand access to high-demand Electrical and HVAC training in the Washington, D.C. area - a market where data center growth is driving strong tradesperson demand. This model costs less than half of a traditional campus buildout and can be constructed faster, letting us respond more quickly to employer needs in the region.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"Between our strong first half, continued execution of our growth strategy, improving cash generation, and the ongoing national demand for skilled trades talent, we remain confident in achieving our full-year 2026 guidance and progressing toward our 2030 targets of $850 million in revenue and $150 million in Adjusted EBITDA."</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2026 SECOND QUARTER FINANCIAL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(Quarter ended June 30, 2026, compared to quarter ended June 30, 2025)</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4" w:name="z790d5133ac8d4554a3db1295f149359e"/>
      <w:bookmarkStart w:id="35" w:name="z790d5133ac8d4554a3db1295f149359e"/>
      <w:bookmarkEnd w:id="35"/>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Revenue </w:t>
            </w:r>
            <w:r>
              <w:rPr>
                <w:rFonts w:ascii="Times New Roman" w:hAnsi="Times New Roman"/>
                <w:sz w:val="20"/>
              </w:rPr>
              <w:t>increased by $26.1 million, or 22.4% to $142.6 million, primarily due to a 14.5% increase in average student population, with the remainder attributable to tuition increases.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edf0a9f3b14e4c269f113c4356a306a0"/>
      <w:bookmarkStart w:id="37" w:name="zedf0a9f3b14e4c269f113c4356a306a0"/>
      <w:bookmarkEnd w:id="37"/>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Educational services and facilities</w:t>
            </w:r>
            <w:r>
              <w:rPr>
                <w:rFonts w:ascii="Times New Roman" w:hAnsi="Times New Roman"/>
                <w:sz w:val="20"/>
              </w:rPr>
              <w:t xml:space="preserve"> expense increased by $12.8 million, or 27.4% to $59.6 million. This includes a $2.9 million increase in costs related to the new campuses in Houston, Hicksville, and Rowlett. The increase was primarily driven by costs associated with a larger student population as well as higher books and tools expense primarily due to timing of program starts. The remaining increase was attributable to $3.1 million higher depreciation expense, including $0.8 million related to new campuses, largely resulting from capital investments to support growth initiatives.</w:t>
            </w:r>
          </w:p>
        </w:tc>
      </w:tr>
    </w:tbl>
    <w:p>
      <w:pPr>
        <w:pStyle w:val="TextBody"/>
        <w:bidi w:val="0"/>
        <w:spacing w:before="0" w:after="0"/>
        <w:ind w:left="720" w:right="0" w:hanging="360"/>
        <w:jc w:val="left"/>
        <w:rPr>
          <w:sz w:val="20"/>
        </w:rPr>
      </w:pPr>
      <w:r>
        <w:rPr>
          <w:sz w:val="20"/>
        </w:rPr>
      </w:r>
    </w:p>
    <w:p>
      <w:pPr>
        <w:pStyle w:val="Normal"/>
        <w:bidi w:val="0"/>
        <w:spacing w:before="0" w:after="0"/>
        <w:jc w:val="left"/>
        <w:rPr>
          <w:sz w:val="4"/>
          <w:szCs w:val="4"/>
        </w:rPr>
      </w:pPr>
      <w:r>
        <w:rPr>
          <w:sz w:val="4"/>
          <w:szCs w:val="4"/>
        </w:rPr>
      </w:r>
      <w:bookmarkStart w:id="38" w:name="z86f0dc4a9151406fafacf60f138020c6"/>
      <w:bookmarkStart w:id="39" w:name="z86f0dc4a9151406fafacf60f138020c6"/>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Selling, general and administrative</w:t>
            </w:r>
            <w:r>
              <w:rPr>
                <w:rFonts w:ascii="Times New Roman" w:hAnsi="Times New Roman"/>
                <w:sz w:val="20"/>
              </w:rPr>
              <w:t xml:space="preserve"> expense increased by $12.6 million, or 18.8% to $79.7 million. This includes a $2.1 million increase in costs related to new campuses in Houston, Hicksville, and Rowlett. The increase was primarily driven by a larger student population, higher sales and marketing expense, and an increased provision for credit losses.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Corporate and Other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category includes unallocated expenses incurred on behalf of the entire Company. Corporate and other expenses were $18.2 million for the three months ended June 30, 2026, compared to $16.4 million in the prior year comparable period. The increase was primarily driven by higher salaries and benefits to support a larger student population and to execute the Company's growth initiatives.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2026 YEAR-TO-DATE FINANCIAL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(Six months ended June 30, 2026, compared to June 30, 2025)</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e10aa40a55d5481cb7a83c3c4178ac24"/>
      <w:bookmarkStart w:id="41" w:name="ze10aa40a55d5481cb7a83c3c4178ac24"/>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Revenue </w:t>
            </w:r>
            <w:r>
              <w:rPr>
                <w:rFonts w:ascii="Times New Roman" w:hAnsi="Times New Roman"/>
                <w:sz w:val="20"/>
              </w:rPr>
              <w:t>increased by $52.5 million, or 22.5% to $286.5 million, primarily due to a 16.3% increase in average student population, with the remainder attributable to tuition increases.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d7fc841039004ec79bc58895202e0e04"/>
      <w:bookmarkStart w:id="43" w:name="zd7fc841039004ec79bc58895202e0e04"/>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Educational services and facilities</w:t>
            </w:r>
            <w:r>
              <w:rPr>
                <w:rFonts w:ascii="Times New Roman" w:hAnsi="Times New Roman"/>
                <w:sz w:val="20"/>
              </w:rPr>
              <w:t xml:space="preserve"> expense increased by $23.8 million, or 25.3% to $118.0 million. This includes a $5.7 million increase in costs related to the new campuses in Houston, Hicksville, and Rowlett. The increase was primarily driven by costs associated with a larger student population. The remaining increase was attributable to higher depreciation expense, largely resulting from capital investments to support growth initiatives.</w:t>
            </w:r>
          </w:p>
        </w:tc>
      </w:tr>
    </w:tbl>
    <w:p>
      <w:pPr>
        <w:pStyle w:val="TextBody"/>
        <w:bidi w:val="0"/>
        <w:spacing w:before="0" w:after="0"/>
        <w:ind w:left="720" w:right="0" w:hanging="360"/>
        <w:jc w:val="left"/>
        <w:rPr>
          <w:sz w:val="20"/>
        </w:rPr>
      </w:pPr>
      <w:r>
        <w:rPr>
          <w:sz w:val="2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4" w:name="zaaf56ba237404aceb0677d118c20bb0e"/>
      <w:bookmarkStart w:id="45" w:name="zaaf56ba237404aceb0677d118c20bb0e"/>
      <w:bookmarkEnd w:id="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Selling, general and administrative</w:t>
            </w:r>
            <w:r>
              <w:rPr>
                <w:rFonts w:ascii="Times New Roman" w:hAnsi="Times New Roman"/>
                <w:sz w:val="20"/>
              </w:rPr>
              <w:t xml:space="preserve"> expense increased by $24.8 million, or 18.5% to $158.8 million. This includes a $4.0 million increase in costs related to new campuses in Houston, Hicksville, and Rowlett. The increase was primarily driven by higher sales and marketing expense due to higher student acquisition costs.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Corporate and Other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Corporate and other expenses were $39.6 million for the six months ended June 30, 2026, compared to $34.7 million in the prior year comparable period. The increase was primarily driven by higher salaries and benefits to support a larger student population and to execute the Company's growth initiatives.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FULL YEAR 2026 OUTLOOK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the 2026 first half operating and financial results, as well as the outlook for the remainder of the year, the Company is reiterating its guidance for revenue, adjusted EBITDA, net income and student starts, and increasing capital expenditure guidance by approximately $25 million reflecting the Melrose Park, Illinois property acquisition and new Suitland, Maryland campus, as follows: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e2e95e8f17b24dd1bb3c15484c1312d0"/>
      <w:bookmarkStart w:id="47" w:name="ze2e95e8f17b24dd1bb3c15484c1312d0"/>
      <w:bookmarkEnd w:id="47"/>
    </w:p>
    <w:tbl>
      <w:tblPr>
        <w:tblW w:w="6445" w:type="dxa"/>
        <w:jc w:val="left"/>
        <w:tblInd w:w="0" w:type="dxa"/>
        <w:tblLayout w:type="fixed"/>
        <w:tblCellMar>
          <w:top w:w="0" w:type="dxa"/>
          <w:left w:w="0" w:type="dxa"/>
          <w:bottom w:w="0" w:type="dxa"/>
          <w:right w:w="0" w:type="dxa"/>
        </w:tblCellMar>
      </w:tblPr>
      <w:tblGrid>
        <w:gridCol w:w="4535"/>
        <w:gridCol w:w="60"/>
        <w:gridCol w:w="125"/>
        <w:gridCol w:w="485"/>
        <w:gridCol w:w="185"/>
        <w:gridCol w:w="60"/>
        <w:gridCol w:w="80"/>
        <w:gridCol w:w="60"/>
        <w:gridCol w:w="60"/>
        <w:gridCol w:w="125"/>
        <w:gridCol w:w="485"/>
        <w:gridCol w:w="185"/>
      </w:tblGrid>
      <w:tr>
        <w:trPr/>
        <w:tc>
          <w:tcPr>
            <w:tcW w:w="45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5" w:type="dxa"/>
            <w:gridSpan w:val="9"/>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 Guidance</w:t>
            </w:r>
          </w:p>
        </w:tc>
        <w:tc>
          <w:tcPr>
            <w:tcW w:w="185" w:type="dxa"/>
            <w:tcBorders/>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 millions, except for student starts and diluted EPS)</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Low</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High</w:t>
            </w:r>
          </w:p>
        </w:tc>
        <w:tc>
          <w:tcPr>
            <w:tcW w:w="185"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600.0</w:t>
            </w:r>
          </w:p>
        </w:tc>
        <w:tc>
          <w:tcPr>
            <w:tcW w:w="185"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Adjusted EBITDA1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80.0</w:t>
            </w:r>
          </w:p>
        </w:tc>
        <w:tc>
          <w:tcPr>
            <w:tcW w:w="185"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26.0</w:t>
            </w:r>
          </w:p>
        </w:tc>
        <w:tc>
          <w:tcPr>
            <w:tcW w:w="185"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Diluted EPS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0.74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0.83</w:t>
            </w:r>
          </w:p>
        </w:tc>
        <w:tc>
          <w:tcPr>
            <w:tcW w:w="185" w:type="dxa"/>
            <w:tcBorders/>
            <w:vAlign w:val="bottom"/>
          </w:tcPr>
          <w:p>
            <w:pPr>
              <w:pStyle w:val="TableContents"/>
              <w:bidi w:val="0"/>
              <w:spacing w:before="0" w:after="283"/>
              <w:jc w:val="left"/>
              <w:rPr/>
            </w:pPr>
            <w:r>
              <w:rPr/>
              <w:t> </w:t>
            </w:r>
          </w:p>
        </w:tc>
      </w:tr>
      <w:tr>
        <w:trPr/>
        <w:tc>
          <w:tcPr>
            <w:tcW w:w="453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Capital expenditures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w:t>
            </w:r>
          </w:p>
        </w:tc>
        <w:tc>
          <w:tcPr>
            <w:tcW w:w="185" w:type="dxa"/>
            <w:tcBorders/>
            <w:shd w:fill="CCEEFF" w:val="clear"/>
            <w:vAlign w:val="bottom"/>
          </w:tcPr>
          <w:p>
            <w:pPr>
              <w:pStyle w:val="TableContents"/>
              <w:bidi w:val="0"/>
              <w:spacing w:before="0" w:after="283"/>
              <w:jc w:val="left"/>
              <w:rPr/>
            </w:pPr>
            <w:r>
              <w:rPr/>
              <w:t> </w:t>
            </w:r>
          </w:p>
        </w:tc>
      </w:tr>
      <w:tr>
        <w:trPr/>
        <w:tc>
          <w:tcPr>
            <w:tcW w:w="453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Student starts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8" w:name="z739ad7aeca4f40c7beb54a9b497e8ef4"/>
      <w:bookmarkStart w:id="49" w:name="z739ad7aeca4f40c7beb54a9b497e8ef4"/>
      <w:bookmarkEnd w:id="49"/>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lineRule="auto" w:line="240" w:before="0" w:after="283"/>
              <w:jc w:val="left"/>
              <w:rPr>
                <w:i/>
                <w:sz w:val="20"/>
              </w:rPr>
            </w:pPr>
            <w:r>
              <w:rPr>
                <w:i/>
                <w:sz w:val="20"/>
              </w:rPr>
              <w:t>1</w:t>
            </w:r>
          </w:p>
        </w:tc>
        <w:tc>
          <w:tcPr>
            <w:tcW w:w="1006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The guidance in this release includes references to non-GAAP operating measures. A reconciliation to the midpoint of the guidance can be reviewed below in the non-GAAP operating measures at the end of this release. The 2026 adjusted EBITDA guidance includes approximately $10.0 million in losses related to new campus openings and strategic growth initiatives.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CONFERENCE CALL INFO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Lincoln will host </w:t>
      </w:r>
      <w:r>
        <w:rPr>
          <w:rFonts w:ascii="Times New Roman" w:hAnsi="Times New Roman"/>
          <w:b/>
          <w:color w:val="000000"/>
          <w:sz w:val="20"/>
        </w:rPr>
        <w:t>a conference call today at 10:00 a.m. Eastern Standard Time</w:t>
      </w:r>
      <w:r>
        <w:rPr>
          <w:rFonts w:ascii="Times New Roman" w:hAnsi="Times New Roman"/>
          <w:color w:val="000000"/>
          <w:sz w:val="20"/>
        </w:rPr>
        <w:t xml:space="preserve"> to discuss results. To access the live webcast of the conference call, please go to the Investor Overview section of Lincoln’s website at </w:t>
      </w:r>
      <w:r>
        <w:rPr>
          <w:rFonts w:ascii="Times New Roman" w:hAnsi="Times New Roman"/>
          <w:color w:val="000000"/>
          <w:sz w:val="20"/>
          <w:u w:val="single"/>
        </w:rPr>
        <w:t>http://www.lincolntech.edu</w:t>
      </w:r>
      <w:r>
        <w:rPr>
          <w:rFonts w:ascii="Times New Roman" w:hAnsi="Times New Roman"/>
          <w:color w:val="000000"/>
          <w:sz w:val="20"/>
        </w:rPr>
        <w:t xml:space="preserve">. Participants may also register via teleconference at: </w:t>
      </w:r>
      <w:r>
        <w:rPr>
          <w:rFonts w:ascii="Times New Roman" w:hAnsi="Times New Roman"/>
          <w:color w:val="000000"/>
          <w:sz w:val="20"/>
          <w:u w:val="single"/>
        </w:rPr>
        <w:t>Q2 2026 Lincoln Educational Services Earnings Conference Call</w:t>
      </w:r>
      <w:r>
        <w:rPr>
          <w:rFonts w:ascii="Times New Roman" w:hAnsi="Times New Roman"/>
          <w:color w:val="000000"/>
          <w:sz w:val="20"/>
        </w:rPr>
        <w:t>.  Once registration is completed, participants will be provided with a dial-in number containing a personalized PIN to access the call.  Participants are encouraged to register at least 15 minutes prior to the start of the call.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 archived version of the webcast will be accessible for 90 days at </w:t>
      </w:r>
      <w:r>
        <w:rPr>
          <w:rFonts w:ascii="Times New Roman" w:hAnsi="Times New Roman"/>
          <w:color w:val="000000"/>
          <w:sz w:val="20"/>
          <w:u w:val="single"/>
        </w:rPr>
        <w:t>http://www.lincolntech.edu</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LINCOLN EDUCATIONAL SERVICES CORPORATION</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Lincoln Educational Services Corporation is a leading provider of diversified career-oriented post-secondary education helping to provide solutions to America’s skills gap. Lincoln offers career-oriented programs to recent high school graduates and working adults in four principal areas of study: skilled trades, automotive, health sciences and information technology. Lincoln has provided the workforce with skilled technicians since its inception in 1946 and currently operates 22 campuses in 12 states under the brands Lincoln Technical Institute, Lincoln College of Technology and Nashville Auto Diesel College. The Company was incorporated in New Jersey in 2003 as the successor-in-interest to various acquired schools including Lincoln Technical Institute, Inc. which opened its first campus in Newark, New Jersey in 1946. For more information, please go to </w:t>
      </w:r>
      <w:r>
        <w:rPr>
          <w:rFonts w:ascii="Times New Roman" w:hAnsi="Times New Roman"/>
          <w:color w:val="000000"/>
          <w:sz w:val="20"/>
          <w:u w:val="single"/>
        </w:rPr>
        <w:t>www.lincolntech.edu</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Statements in this press release and in oral statements made from time to time by representatives of Lincoln Educational Services Corporation that are not historical facts, including those made in a conference call, may be “forward-looking statements” as that term is defined in the federal securities laws. The words “may,” “will,” “expect,” “believe,” “anticipate,” “project,” “plan,” “intend,” “estimate,” “goal,” “target” and “continue,” and similar expressions and their opposite are intended to identify forward-looking statements.  Forward-looking statements should not be read as a guarantee of future performance or results and will not necessarily be accurate indications of the times at, or by, which such performance or results will be achieved, if at all.  The Company cautions you that these statements concern current expectations about the Company’s future performance or events and are subject to a number of uncertainties, risks, and other influences, many of which are beyond the Company’s control, that may affect the accuracy of the statements or the prospects upon which the statements are based including, without limitation, risks associated with our ability to comply with the extensive federal and state regulatory framework applicable to the for-profit education industry such as the 90/10 rule, prescribed cohort default rates, the effect of current and future Title IV Program regulations arising out of negotiated rulemakings, including any potential reductions in funding or restrictions on the use of funds received through Title IV Programs and financial responsibility and administrative capability standards; the effect of future legislative or regulatory initiatives related to veterans' benefit programs; our ability to obtain timely regulatory approvals in connection with acquisitions of additional schools and the related risks associated with integration of acquired schools; risks associated with the opening of new campuses; our ability to execute our growth strategies including updating and expanding the content of existing programs and developing new programs for our students in a timely and cost-effective manner while maintaining positive student outcomes; our ability to effectively compete within our industry; impacts related to epidemics or pandemics; risks associated with cybersecurity; general economic conditions; and other factors discussed in the “Risk Factors” section of our Annual Reports and Quarterly Reports filed with the Securities and Exchange Commission.  All forward-looking statements are qualified in their entirety by this cautionary statement, and Lincoln undertakes no obligation to publicly revise or update any forward-looking statements, whether as a result of new information, future events or otherwise after the date hereof.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LINCOLN EDUCATIONAL SERVICES CORPORATION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0" w:name="ze1df220f1a7e408baef5c2e7e87d451b"/>
      <w:bookmarkStart w:id="51" w:name="ze1df220f1a7e408baef5c2e7e87d451b"/>
      <w:bookmarkEnd w:id="51"/>
    </w:p>
    <w:tbl>
      <w:tblPr>
        <w:tblW w:w="10205" w:type="dxa"/>
        <w:jc w:val="left"/>
        <w:tblInd w:w="0" w:type="dxa"/>
        <w:tblLayout w:type="fixed"/>
        <w:tblCellMar>
          <w:top w:w="0" w:type="dxa"/>
          <w:left w:w="0" w:type="dxa"/>
          <w:bottom w:w="0" w:type="dxa"/>
          <w:right w:w="0" w:type="dxa"/>
        </w:tblCellMar>
      </w:tblPr>
      <w:tblGrid>
        <w:gridCol w:w="7955"/>
        <w:gridCol w:w="60"/>
        <w:gridCol w:w="125"/>
        <w:gridCol w:w="695"/>
        <w:gridCol w:w="60"/>
        <w:gridCol w:w="60"/>
        <w:gridCol w:w="179"/>
        <w:gridCol w:w="996"/>
        <w:gridCol w:w="75"/>
      </w:tblGrid>
      <w:tr>
        <w:trPr/>
        <w:tc>
          <w:tcPr>
            <w:tcW w:w="7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28,519</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 less allowance of $41,378 and $43,975 at June 30, 2026 and December 31, 2025, respectively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45,871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36,929</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3,986</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tax receivable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1,599</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Tenant allowance receivable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8,127</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and other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7,872</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87,032</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PROPERTY, EQUIPMENT AND FACILITIES - At cost, net of accumulated depreciation and amortization of $160,833 and $148,067 at June 30, 2026 and December 31, 2025, respectively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190,686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171,603</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Noncurrent receivables, less allowance of $26,865 and $26,371 at June 30, 2026 and  December 31, 2025, respectively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21,248</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finance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302</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Deferred income taxes,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21,668</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154,223</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Finance lease right-of-use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24,240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25,075</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10,742</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assets, net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1,271</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234,529</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529,780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493,164</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Unearned tuition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44,159</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27,023</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18,430</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operating lease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10,634</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finance lease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110,953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100,709</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Long-term portion of operating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160,074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162,113</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Long-term portion of finance lease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30,364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30,654</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Long-term debt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327,391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293,476</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Common stock, no par value - authorized 100,000,000 shares at June 30, 2026 and December 31, 2025, issued and outstanding 31,722,150 shares at June 30, 2026 and 31,623,795 shares at December 31, 2025</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48,181</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52,339</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Retained earnings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105,470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99,168</w:t>
            </w:r>
          </w:p>
        </w:tc>
        <w:tc>
          <w:tcPr>
            <w:tcW w:w="75" w:type="dxa"/>
            <w:tcBorders/>
            <w:vAlign w:val="bottom"/>
          </w:tcPr>
          <w:p>
            <w:pPr>
              <w:pStyle w:val="TableContents"/>
              <w:bidi w:val="0"/>
              <w:spacing w:before="0" w:after="283"/>
              <w:jc w:val="left"/>
              <w:rPr/>
            </w:pPr>
            <w:r>
              <w:rPr/>
              <w:t> </w:t>
            </w:r>
          </w:p>
        </w:tc>
      </w:tr>
      <w:tr>
        <w:trPr/>
        <w:tc>
          <w:tcPr>
            <w:tcW w:w="795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202,389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199,688</w:t>
            </w:r>
          </w:p>
        </w:tc>
        <w:tc>
          <w:tcPr>
            <w:tcW w:w="75" w:type="dxa"/>
            <w:tcBorders/>
            <w:shd w:fill="CCEEFF" w:val="clear"/>
            <w:vAlign w:val="bottom"/>
          </w:tcPr>
          <w:p>
            <w:pPr>
              <w:pStyle w:val="TableContents"/>
              <w:bidi w:val="0"/>
              <w:spacing w:before="0" w:after="283"/>
              <w:jc w:val="left"/>
              <w:rPr/>
            </w:pPr>
            <w:r>
              <w:rPr/>
              <w:t> </w:t>
            </w:r>
          </w:p>
        </w:tc>
      </w:tr>
      <w:tr>
        <w:trPr/>
        <w:tc>
          <w:tcPr>
            <w:tcW w:w="79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529,780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493,164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LINCOLN EDUCATIONAL SERVICES CORPORATION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2" w:name="z85b665416c634d7b91ac5b903c06fb16"/>
      <w:bookmarkStart w:id="53" w:name="z85b665416c634d7b91ac5b903c06fb16"/>
      <w:bookmarkEnd w:id="53"/>
    </w:p>
    <w:tbl>
      <w:tblPr>
        <w:tblW w:w="8606" w:type="dxa"/>
        <w:jc w:val="left"/>
        <w:tblInd w:w="0" w:type="dxa"/>
        <w:tblLayout w:type="fixed"/>
        <w:tblCellMar>
          <w:top w:w="0" w:type="dxa"/>
          <w:left w:w="0" w:type="dxa"/>
          <w:bottom w:w="0" w:type="dxa"/>
          <w:right w:w="0" w:type="dxa"/>
        </w:tblCellMar>
      </w:tblPr>
      <w:tblGrid>
        <w:gridCol w:w="4745"/>
        <w:gridCol w:w="60"/>
        <w:gridCol w:w="125"/>
        <w:gridCol w:w="698"/>
        <w:gridCol w:w="80"/>
        <w:gridCol w:w="60"/>
        <w:gridCol w:w="125"/>
        <w:gridCol w:w="698"/>
        <w:gridCol w:w="80"/>
        <w:gridCol w:w="60"/>
        <w:gridCol w:w="125"/>
        <w:gridCol w:w="695"/>
        <w:gridCol w:w="80"/>
        <w:gridCol w:w="60"/>
        <w:gridCol w:w="125"/>
        <w:gridCol w:w="695"/>
        <w:gridCol w:w="95"/>
      </w:tblGrid>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6"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142,560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116,474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286,518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233,980</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COSTS AND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Educational services and facilities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59,632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118,025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94,199</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Selling, general and administrative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79,649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67,061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158,801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133,965</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Gain on sale of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4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costs and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139,248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113,596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276,799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227,688</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6,292</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(1,058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(1,895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74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4,903</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1,404</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3,499</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Net income per common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0.11</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Net income per common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0.11</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number of common shares outstanding:</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4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31,258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31,194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30,900</w:t>
            </w:r>
          </w:p>
        </w:tc>
        <w:tc>
          <w:tcPr>
            <w:tcW w:w="95"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31,419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31,271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31,375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31,172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LINCOLN EDUCATIONAL SERVICES CORPORATION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88f2ab9424054df194934b87959a2642"/>
      <w:bookmarkStart w:id="55" w:name="z88f2ab9424054df194934b87959a2642"/>
      <w:bookmarkEnd w:id="55"/>
    </w:p>
    <w:tbl>
      <w:tblPr>
        <w:tblW w:w="9230" w:type="dxa"/>
        <w:jc w:val="left"/>
        <w:tblInd w:w="0" w:type="dxa"/>
        <w:tblLayout w:type="fixed"/>
        <w:tblCellMar>
          <w:top w:w="0" w:type="dxa"/>
          <w:left w:w="0" w:type="dxa"/>
          <w:bottom w:w="0" w:type="dxa"/>
          <w:right w:w="0" w:type="dxa"/>
        </w:tblCellMar>
      </w:tblPr>
      <w:tblGrid>
        <w:gridCol w:w="7385"/>
        <w:gridCol w:w="60"/>
        <w:gridCol w:w="125"/>
        <w:gridCol w:w="650"/>
        <w:gridCol w:w="80"/>
        <w:gridCol w:w="60"/>
        <w:gridCol w:w="125"/>
        <w:gridCol w:w="650"/>
        <w:gridCol w:w="95"/>
      </w:tblGrid>
      <w:tr>
        <w:trPr/>
        <w:tc>
          <w:tcPr>
            <w:tcW w:w="7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FLOWS FROM OPERATING ACTIVITIES:</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3,499</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Adjustments to reconcile net income to net cash provided by (used in) operating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7,637</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Finance lease amortization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835</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Amortization of deferred finance charges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Deferred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547</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Gain on sale of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Fixed asset donations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credit losses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25,012</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(Increase) decrease in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Accounts receivable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(39,056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(30,797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Prepaid income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(2,794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Prepaid expenses and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(3,611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assets,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Increase (decrease) in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(9,768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3,452</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Unearned tuition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7,761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1,672</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Total adjustments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20,331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(11,578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provided by (used in) operating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(8,079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Capital expenditures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(29,132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(46,276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(payments for) sale of property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504</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(29,105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(45,772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Proceeds from borrowings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25,000</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Payments on borrowings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(12,000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Payment of deferred finance fees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Finance lease principal paid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Tenant allowance finance leases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2,212</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share settlement for equity-based compensation</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(3,633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Net cash provided by financing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18,131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11,279</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INCREASE (DECREASE)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(42,572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AND CASH EQUIVALENTS —Beginning of period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59,273</w:t>
            </w:r>
          </w:p>
        </w:tc>
        <w:tc>
          <w:tcPr>
            <w:tcW w:w="95" w:type="dxa"/>
            <w:tcBorders/>
            <w:vAlign w:val="bottom"/>
          </w:tcPr>
          <w:p>
            <w:pPr>
              <w:pStyle w:val="TableContents"/>
              <w:bidi w:val="0"/>
              <w:spacing w:before="0" w:after="283"/>
              <w:jc w:val="left"/>
              <w:rPr/>
            </w:pPr>
            <w:r>
              <w:rPr/>
              <w:t> </w:t>
            </w:r>
          </w:p>
        </w:tc>
      </w:tr>
      <w:tr>
        <w:trPr/>
        <w:tc>
          <w:tcPr>
            <w:tcW w:w="738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CASH AND CASH EQUIVALENTS—End of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44,178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16,701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222222"/>
          <w:sz w:val="20"/>
        </w:rPr>
      </w:pPr>
      <w:r>
        <w:rPr>
          <w:rFonts w:ascii="Times New Roman" w:hAnsi="Times New Roman"/>
          <w:b/>
          <w:color w:val="222222"/>
          <w:sz w:val="20"/>
        </w:rPr>
        <w:t>(1) RECONCILIATION OF NON-GAAP FINANCIAL MEASURES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BFBFB" w:val="clear"/>
        </w:rPr>
      </w:pPr>
      <w:r>
        <w:rPr>
          <w:rFonts w:ascii="Times New Roman" w:hAnsi="Times New Roman"/>
          <w:color w:val="000000"/>
          <w:sz w:val="20"/>
          <w:shd w:fill="FBFBFB" w:val="clear"/>
        </w:rPr>
        <w:t>In addition to disclosing financial results that are determined in accordance with U.S. generally accepted accounting principles (“GAAP”), the Company believes it is useful to present non-GAAP financial measures that exclude certain significant items as a means to understand the performance of its business, and to enable comparability of operating performance between periods. Additionally, the Company’s management regularly uses our non-GAAP financial measures to make operating decisions, for planning and forecasting purposes. EBITDA, adjusted EBITDA, and total liquidity are measures not recognized in financial statements presented in accordance with GAAP.</w:t>
      </w:r>
    </w:p>
    <w:p>
      <w:pPr>
        <w:pStyle w:val="TextBody"/>
        <w:bidi w:val="0"/>
        <w:spacing w:before="0" w:after="0"/>
        <w:jc w:val="left"/>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6" w:name="z200b10088913473e960f33fa7ba4b49b"/>
      <w:bookmarkStart w:id="57" w:name="z200b10088913473e960f33fa7ba4b49b"/>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 define EBITDA as income (loss) before net interest expense (interest income), provision (benefit) for income taxes, depreciation and amortization.</w:t>
            </w:r>
          </w:p>
        </w:tc>
      </w:tr>
    </w:tbl>
    <w:p>
      <w:pPr>
        <w:pStyle w:val="Normal"/>
        <w:bidi w:val="0"/>
        <w:spacing w:before="0" w:after="0"/>
        <w:jc w:val="left"/>
        <w:rPr>
          <w:sz w:val="4"/>
          <w:szCs w:val="4"/>
        </w:rPr>
      </w:pPr>
      <w:r>
        <w:rPr>
          <w:sz w:val="4"/>
          <w:szCs w:val="4"/>
        </w:rPr>
      </w:r>
      <w:bookmarkStart w:id="58" w:name="z6c5e9d689a7f473ea04e8a4b14733ff3"/>
      <w:bookmarkStart w:id="59" w:name="z6c5e9d689a7f473ea04e8a4b14733ff3"/>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 define adjusted EBITDA as EBITDA plus stock-based compensation expense and adjustments for items not considered part of the Company’s normal recurring operations.</w:t>
            </w:r>
          </w:p>
        </w:tc>
      </w:tr>
    </w:tbl>
    <w:p>
      <w:pPr>
        <w:pStyle w:val="Normal"/>
        <w:bidi w:val="0"/>
        <w:spacing w:before="0" w:after="0"/>
        <w:jc w:val="left"/>
        <w:rPr>
          <w:sz w:val="4"/>
          <w:szCs w:val="4"/>
        </w:rPr>
      </w:pPr>
      <w:r>
        <w:rPr>
          <w:sz w:val="4"/>
          <w:szCs w:val="4"/>
        </w:rPr>
      </w:r>
      <w:bookmarkStart w:id="60" w:name="zf8e490273b074c94801a37fa6b75d193"/>
      <w:bookmarkStart w:id="61" w:name="zf8e490273b074c94801a37fa6b75d193"/>
      <w:bookmarkEnd w:id="61"/>
    </w:p>
    <w:tbl>
      <w:tblPr>
        <w:tblW w:w="9933" w:type="dxa"/>
        <w:jc w:val="left"/>
        <w:tblInd w:w="0" w:type="dxa"/>
        <w:tblLayout w:type="fixed"/>
        <w:tblCellMar>
          <w:top w:w="0" w:type="dxa"/>
          <w:left w:w="0" w:type="dxa"/>
          <w:bottom w:w="0" w:type="dxa"/>
          <w:right w:w="0" w:type="dxa"/>
        </w:tblCellMar>
      </w:tblPr>
      <w:tblGrid>
        <w:gridCol w:w="38"/>
        <w:gridCol w:w="110"/>
        <w:gridCol w:w="9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 define total liquidity as the Company’s cash and cash equivalents and available borrowings under our credit facility.</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EBITDA, adjusted EBITDA, and total liquidity are presented because we believe they are useful indicators of the Company’s performance and ability to make strategic investments and meet capital expenditures and debt service requirements. However, they are not intended to represent cash flows from operations as defined by GAAP and should not be used as an alternative to net income (loss) as indicators of operating performance or cash flow as a measure of liquidity. EBITDA, adjusted EBITDA, and total liquidity are not necessarily comparable to similarly titled measures used by other companies.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EBITDA excludes non-cash stock-based compensation and one-time, non-recurring items. Historically Adjusted EBITDA has excluded pre-opening costs, as well as net operating losses from new campuses, for up to four quarters after the campus opening, or until the campus becomes profitable, whichever occurs first. Beginning in fiscal year 2026, the Company no longer adjusts adjusted EBITDA for pre-opening costs and net operating losses from new campuses and program expansions. Going forward, adjusted EBITDA will reflect only the add-back of non-cash stock-based compensation and other non-recurring items, if any. Prior period amounts in this release have been recast to conform to the current methodology.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is a reconciliation of net income (loss) to EBITDA and adjusted EBITDA, as well as a presentation of total liquidity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2" w:name="zc20dfb48d19f418bb2fc13532fc0f6b0"/>
      <w:bookmarkStart w:id="63" w:name="zc20dfb48d19f418bb2fc13532fc0f6b0"/>
      <w:bookmarkEnd w:id="63"/>
    </w:p>
    <w:tbl>
      <w:tblPr>
        <w:tblW w:w="8145" w:type="dxa"/>
        <w:jc w:val="left"/>
        <w:tblInd w:w="0" w:type="dxa"/>
        <w:tblLayout w:type="fixed"/>
        <w:tblCellMar>
          <w:top w:w="0" w:type="dxa"/>
          <w:left w:w="0" w:type="dxa"/>
          <w:bottom w:w="0" w:type="dxa"/>
          <w:right w:w="0" w:type="dxa"/>
        </w:tblCellMar>
      </w:tblPr>
      <w:tblGrid>
        <w:gridCol w:w="2915"/>
        <w:gridCol w:w="60"/>
        <w:gridCol w:w="125"/>
        <w:gridCol w:w="590"/>
        <w:gridCol w:w="60"/>
        <w:gridCol w:w="60"/>
        <w:gridCol w:w="125"/>
        <w:gridCol w:w="485"/>
        <w:gridCol w:w="60"/>
        <w:gridCol w:w="60"/>
        <w:gridCol w:w="137"/>
        <w:gridCol w:w="647"/>
        <w:gridCol w:w="65"/>
        <w:gridCol w:w="65"/>
        <w:gridCol w:w="137"/>
        <w:gridCol w:w="649"/>
        <w:gridCol w:w="60"/>
        <w:gridCol w:w="60"/>
        <w:gridCol w:w="125"/>
        <w:gridCol w:w="650"/>
        <w:gridCol w:w="80"/>
        <w:gridCol w:w="60"/>
        <w:gridCol w:w="125"/>
        <w:gridCol w:w="650"/>
        <w:gridCol w:w="95"/>
      </w:tblGrid>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5"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75"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Consolidated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Campus Operations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Corporate</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20,946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(19,000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(17,150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1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197</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522</w:t>
            </w:r>
          </w:p>
        </w:tc>
        <w:tc>
          <w:tcPr>
            <w:tcW w:w="9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7,655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EBITDA</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29,204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23,854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(18,103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(16,266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1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1,343</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29,204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23,854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(16,488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(14,923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4" w:name="zc32d22cf60124fffb5c7ceebd5ca09ef"/>
      <w:bookmarkStart w:id="65" w:name="zc32d22cf60124fffb5c7ceebd5ca09ef"/>
      <w:bookmarkEnd w:id="65"/>
    </w:p>
    <w:tbl>
      <w:tblPr>
        <w:tblW w:w="8250" w:type="dxa"/>
        <w:jc w:val="left"/>
        <w:tblInd w:w="0" w:type="dxa"/>
        <w:tblLayout w:type="fixed"/>
        <w:tblCellMar>
          <w:top w:w="0" w:type="dxa"/>
          <w:left w:w="0" w:type="dxa"/>
          <w:bottom w:w="0" w:type="dxa"/>
          <w:right w:w="0" w:type="dxa"/>
        </w:tblCellMar>
      </w:tblPr>
      <w:tblGrid>
        <w:gridCol w:w="2915"/>
        <w:gridCol w:w="60"/>
        <w:gridCol w:w="125"/>
        <w:gridCol w:w="590"/>
        <w:gridCol w:w="60"/>
        <w:gridCol w:w="60"/>
        <w:gridCol w:w="125"/>
        <w:gridCol w:w="590"/>
        <w:gridCol w:w="60"/>
        <w:gridCol w:w="60"/>
        <w:gridCol w:w="137"/>
        <w:gridCol w:w="647"/>
        <w:gridCol w:w="65"/>
        <w:gridCol w:w="65"/>
        <w:gridCol w:w="137"/>
        <w:gridCol w:w="649"/>
        <w:gridCol w:w="60"/>
        <w:gridCol w:w="60"/>
        <w:gridCol w:w="125"/>
        <w:gridCol w:w="650"/>
        <w:gridCol w:w="80"/>
        <w:gridCol w:w="60"/>
        <w:gridCol w:w="125"/>
        <w:gridCol w:w="650"/>
        <w:gridCol w:w="95"/>
      </w:tblGrid>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0"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80" w:type="dxa"/>
            <w:gridSpan w:val="2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Consolidated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Campus Operations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Corporate</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8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48,119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39,782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(41,817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(36,283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1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1,404</w:t>
            </w:r>
          </w:p>
        </w:tc>
        <w:tc>
          <w:tcPr>
            <w:tcW w:w="9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15,155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327</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EBITDA</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25,140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14,764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64,452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(39,312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(34,362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1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Stock-based compensation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9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64,452</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(36,253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(31,814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6" w:name="zff9161fea9b44561999e855d5ae7eb56"/>
      <w:bookmarkStart w:id="67" w:name="zff9161fea9b44561999e855d5ae7eb56"/>
      <w:bookmarkEnd w:id="67"/>
    </w:p>
    <w:tbl>
      <w:tblPr>
        <w:tblW w:w="4614" w:type="dxa"/>
        <w:jc w:val="left"/>
        <w:tblInd w:w="0" w:type="dxa"/>
        <w:tblLayout w:type="fixed"/>
        <w:tblCellMar>
          <w:top w:w="0" w:type="dxa"/>
          <w:left w:w="0" w:type="dxa"/>
          <w:bottom w:w="0" w:type="dxa"/>
          <w:right w:w="0" w:type="dxa"/>
        </w:tblCellMar>
      </w:tblPr>
      <w:tblGrid>
        <w:gridCol w:w="3290"/>
        <w:gridCol w:w="60"/>
        <w:gridCol w:w="181"/>
        <w:gridCol w:w="1008"/>
        <w:gridCol w:w="75"/>
      </w:tblGrid>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 of</w:t>
            </w:r>
          </w:p>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44,178</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Available liquidity under Credit facility</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99,000</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Total Liquidity</w:t>
            </w:r>
          </w:p>
        </w:tc>
        <w:tc>
          <w:tcPr>
            <w:tcW w:w="6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143,178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ind w:left="108" w:right="0" w:hanging="0"/>
        <w:jc w:val="left"/>
        <w:rPr>
          <w:rFonts w:ascii="Times New Roman" w:hAnsi="Times New Roman"/>
          <w:color w:val="000000"/>
          <w:sz w:val="20"/>
        </w:rPr>
      </w:pPr>
      <w:r>
        <w:rPr>
          <w:rFonts w:ascii="Times New Roman" w:hAnsi="Times New Roman"/>
          <w:color w:val="000000"/>
          <w:sz w:val="20"/>
        </w:rPr>
        <w:t>*As of June 30, 2026, $26.0 million was outstanding under the revolving credit facility.</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tables below presents operating income (loss) (in thousands) for the three and six months ended June 30,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8" w:name="zb4a3ed7ecc1d49e488c37d7e6a79ebed"/>
      <w:bookmarkStart w:id="69" w:name="zb4a3ed7ecc1d49e488c37d7e6a79ebed"/>
      <w:bookmarkEnd w:id="69"/>
    </w:p>
    <w:tbl>
      <w:tblPr>
        <w:tblW w:w="5965" w:type="dxa"/>
        <w:jc w:val="left"/>
        <w:tblInd w:w="0" w:type="dxa"/>
        <w:tblLayout w:type="fixed"/>
        <w:tblCellMar>
          <w:top w:w="0" w:type="dxa"/>
          <w:left w:w="0" w:type="dxa"/>
          <w:bottom w:w="0" w:type="dxa"/>
          <w:right w:w="0" w:type="dxa"/>
        </w:tblCellMar>
      </w:tblPr>
      <w:tblGrid>
        <w:gridCol w:w="2120"/>
        <w:gridCol w:w="60"/>
        <w:gridCol w:w="187"/>
        <w:gridCol w:w="976"/>
        <w:gridCol w:w="120"/>
        <w:gridCol w:w="90"/>
        <w:gridCol w:w="187"/>
        <w:gridCol w:w="980"/>
        <w:gridCol w:w="80"/>
        <w:gridCol w:w="60"/>
        <w:gridCol w:w="123"/>
        <w:gridCol w:w="782"/>
        <w:gridCol w:w="200"/>
      </w:tblGrid>
      <w:tr>
        <w:trPr/>
        <w:tc>
          <w:tcPr>
            <w:tcW w:w="2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2120" w:type="dxa"/>
            <w:tcBorders/>
            <w:vAlign w:val="bottom"/>
          </w:tcPr>
          <w:p>
            <w:pPr>
              <w:pStyle w:val="TableContents"/>
              <w:bidi w:val="0"/>
              <w:spacing w:before="0" w:after="0"/>
              <w:ind w:left="144" w:right="0" w:hanging="144"/>
              <w:jc w:val="left"/>
              <w:rPr>
                <w:rFonts w:ascii="Times New Roman" w:hAnsi="Times New Roman"/>
                <w:b/>
                <w:sz w:val="20"/>
                <w:u w:val="single"/>
              </w:rPr>
            </w:pPr>
            <w:r>
              <w:rPr>
                <w:rFonts w:ascii="Times New Roman" w:hAnsi="Times New Roman"/>
                <w:b/>
                <w:sz w:val="20"/>
                <w:u w:val="single"/>
              </w:rPr>
              <w:t>Operating Income (loss):</w:t>
            </w:r>
          </w:p>
        </w:tc>
        <w:tc>
          <w:tcPr>
            <w:tcW w:w="60" w:type="dxa"/>
            <w:tcBorders/>
            <w:vAlign w:val="bottom"/>
          </w:tcPr>
          <w:p>
            <w:pPr>
              <w:pStyle w:val="TableContents"/>
              <w:bidi w:val="0"/>
              <w:spacing w:before="0" w:after="283"/>
              <w:jc w:val="left"/>
              <w:rPr/>
            </w:pPr>
            <w:r>
              <w:rPr/>
              <w:t> </w:t>
            </w:r>
          </w:p>
        </w:tc>
        <w:tc>
          <w:tcPr>
            <w:tcW w:w="11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vAlign w:val="bottom"/>
          </w:tcPr>
          <w:p>
            <w:pPr>
              <w:pStyle w:val="TableContents"/>
              <w:bidi w:val="0"/>
              <w:spacing w:before="0" w:after="283"/>
              <w:jc w:val="left"/>
              <w:rPr/>
            </w:pPr>
            <w:r>
              <w:rPr/>
              <w:t> </w:t>
            </w:r>
          </w:p>
        </w:tc>
      </w:tr>
      <w:tr>
        <w:trPr/>
        <w:tc>
          <w:tcPr>
            <w:tcW w:w="21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Campus Operations</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21,548</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2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Corporate</w:t>
            </w:r>
          </w:p>
        </w:tc>
        <w:tc>
          <w:tcPr>
            <w:tcW w:w="6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7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(18,236</w:t>
            </w:r>
          </w:p>
        </w:tc>
        <w:tc>
          <w:tcPr>
            <w:tcW w:w="1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vAlign w:val="bottom"/>
          </w:tcPr>
          <w:p>
            <w:pPr>
              <w:pStyle w:val="TableContents"/>
              <w:bidi w:val="0"/>
              <w:spacing w:before="0" w:after="283"/>
              <w:jc w:val="left"/>
              <w:rPr/>
            </w:pPr>
            <w:r>
              <w:rPr/>
              <w:t> </w:t>
            </w:r>
          </w:p>
        </w:tc>
        <w:tc>
          <w:tcPr>
            <w:tcW w:w="18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(16,431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3" w:type="dxa"/>
            <w:tcBorders>
              <w:bottom w:val="single" w:sz="12" w:space="0" w:color="000000"/>
            </w:tcBorders>
            <w:tcMar>
              <w:bottom w:w="28" w:type="dxa"/>
            </w:tcMar>
            <w:vAlign w:val="bottom"/>
          </w:tcPr>
          <w:p>
            <w:pPr>
              <w:pStyle w:val="TableContents"/>
              <w:bidi w:val="0"/>
              <w:spacing w:before="0" w:after="283"/>
              <w:jc w:val="left"/>
              <w:rPr/>
            </w:pPr>
            <w:r>
              <w:rPr/>
              <w:t> </w:t>
            </w:r>
          </w:p>
        </w:tc>
        <w:tc>
          <w:tcPr>
            <w:tcW w:w="7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3,312</w:t>
            </w:r>
          </w:p>
        </w:tc>
        <w:tc>
          <w:tcPr>
            <w:tcW w:w="12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e37dfd36a8844c5da6c59a47804f3b2a"/>
      <w:bookmarkStart w:id="71" w:name="ze37dfd36a8844c5da6c59a47804f3b2a"/>
      <w:bookmarkEnd w:id="71"/>
    </w:p>
    <w:tbl>
      <w:tblPr>
        <w:tblW w:w="5725" w:type="dxa"/>
        <w:jc w:val="left"/>
        <w:tblInd w:w="0" w:type="dxa"/>
        <w:tblLayout w:type="fixed"/>
        <w:tblCellMar>
          <w:top w:w="0" w:type="dxa"/>
          <w:left w:w="0" w:type="dxa"/>
          <w:bottom w:w="0" w:type="dxa"/>
          <w:right w:w="0" w:type="dxa"/>
        </w:tblCellMar>
      </w:tblPr>
      <w:tblGrid>
        <w:gridCol w:w="2120"/>
        <w:gridCol w:w="60"/>
        <w:gridCol w:w="170"/>
        <w:gridCol w:w="884"/>
        <w:gridCol w:w="108"/>
        <w:gridCol w:w="81"/>
        <w:gridCol w:w="170"/>
        <w:gridCol w:w="887"/>
        <w:gridCol w:w="80"/>
        <w:gridCol w:w="60"/>
        <w:gridCol w:w="123"/>
        <w:gridCol w:w="782"/>
        <w:gridCol w:w="200"/>
      </w:tblGrid>
      <w:tr>
        <w:trPr/>
        <w:tc>
          <w:tcPr>
            <w:tcW w:w="2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2120" w:type="dxa"/>
            <w:tcBorders/>
            <w:vAlign w:val="bottom"/>
          </w:tcPr>
          <w:p>
            <w:pPr>
              <w:pStyle w:val="TableContents"/>
              <w:bidi w:val="0"/>
              <w:spacing w:before="0" w:after="0"/>
              <w:ind w:left="144" w:right="0" w:hanging="144"/>
              <w:jc w:val="left"/>
              <w:rPr>
                <w:rFonts w:ascii="Times New Roman" w:hAnsi="Times New Roman"/>
                <w:b/>
                <w:sz w:val="20"/>
                <w:u w:val="single"/>
              </w:rPr>
            </w:pPr>
            <w:r>
              <w:rPr>
                <w:rFonts w:ascii="Times New Roman" w:hAnsi="Times New Roman"/>
                <w:b/>
                <w:sz w:val="20"/>
                <w:u w:val="single"/>
              </w:rPr>
              <w:t>Operating Income (loss):</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Change</w:t>
            </w:r>
          </w:p>
        </w:tc>
        <w:tc>
          <w:tcPr>
            <w:tcW w:w="200" w:type="dxa"/>
            <w:tcBorders/>
            <w:vAlign w:val="bottom"/>
          </w:tcPr>
          <w:p>
            <w:pPr>
              <w:pStyle w:val="TableContents"/>
              <w:bidi w:val="0"/>
              <w:spacing w:before="0" w:after="283"/>
              <w:jc w:val="left"/>
              <w:rPr/>
            </w:pPr>
            <w:r>
              <w:rPr/>
              <w:t> </w:t>
            </w:r>
          </w:p>
        </w:tc>
      </w:tr>
      <w:tr>
        <w:trPr/>
        <w:tc>
          <w:tcPr>
            <w:tcW w:w="21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Campus Operations</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49,297</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40,982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2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Corporate</w:t>
            </w:r>
          </w:p>
        </w:tc>
        <w:tc>
          <w:tcPr>
            <w:tcW w:w="6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(39,578</w:t>
            </w:r>
          </w:p>
        </w:tc>
        <w:tc>
          <w:tcPr>
            <w:tcW w:w="1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(34,690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3" w:type="dxa"/>
            <w:tcBorders>
              <w:bottom w:val="single" w:sz="12" w:space="0" w:color="000000"/>
            </w:tcBorders>
            <w:tcMar>
              <w:bottom w:w="28" w:type="dxa"/>
            </w:tcMar>
            <w:vAlign w:val="bottom"/>
          </w:tcPr>
          <w:p>
            <w:pPr>
              <w:pStyle w:val="TableContents"/>
              <w:bidi w:val="0"/>
              <w:spacing w:before="0" w:after="283"/>
              <w:jc w:val="left"/>
              <w:rPr/>
            </w:pPr>
            <w:r>
              <w:rPr/>
              <w:t> </w:t>
            </w:r>
          </w:p>
        </w:tc>
        <w:tc>
          <w:tcPr>
            <w:tcW w:w="78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2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9,719</w:t>
            </w:r>
          </w:p>
        </w:tc>
        <w:tc>
          <w:tcPr>
            <w:tcW w:w="10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8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54.5</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included in the table below provides student starts and population with a breakdown by Transportation and Skilled Trade programs and Healthcare and Other Professions programs.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Population by Program:</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2" w:name="zc128ae2383694006a232d63543c0e585"/>
      <w:bookmarkStart w:id="73" w:name="zc128ae2383694006a232d63543c0e585"/>
      <w:bookmarkEnd w:id="73"/>
    </w:p>
    <w:tbl>
      <w:tblPr>
        <w:tblW w:w="7645" w:type="dxa"/>
        <w:jc w:val="left"/>
        <w:tblInd w:w="0" w:type="dxa"/>
        <w:tblLayout w:type="fixed"/>
        <w:tblCellMar>
          <w:top w:w="0" w:type="dxa"/>
          <w:left w:w="0" w:type="dxa"/>
          <w:bottom w:w="0" w:type="dxa"/>
          <w:right w:w="0" w:type="dxa"/>
        </w:tblCellMar>
      </w:tblPr>
      <w:tblGrid>
        <w:gridCol w:w="2795"/>
        <w:gridCol w:w="60"/>
        <w:gridCol w:w="60"/>
        <w:gridCol w:w="590"/>
        <w:gridCol w:w="60"/>
        <w:gridCol w:w="60"/>
        <w:gridCol w:w="60"/>
        <w:gridCol w:w="590"/>
        <w:gridCol w:w="60"/>
        <w:gridCol w:w="60"/>
        <w:gridCol w:w="60"/>
        <w:gridCol w:w="590"/>
        <w:gridCol w:w="60"/>
        <w:gridCol w:w="60"/>
        <w:gridCol w:w="99"/>
        <w:gridCol w:w="806"/>
        <w:gridCol w:w="245"/>
        <w:gridCol w:w="60"/>
        <w:gridCol w:w="137"/>
        <w:gridCol w:w="873"/>
        <w:gridCol w:w="260"/>
      </w:tblGrid>
      <w:tr>
        <w:trPr/>
        <w:tc>
          <w:tcPr>
            <w:tcW w:w="27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30" w:type="dxa"/>
            <w:gridSpan w:val="18"/>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26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jc w:val="left"/>
              <w:rPr>
                <w:rFonts w:ascii="Times New Roman;Times;serif" w:hAnsi="Times New Roman;Times;serif"/>
                <w:sz w:val="20"/>
                <w:u w:val="single"/>
              </w:rPr>
            </w:pPr>
            <w:r>
              <w:rPr>
                <w:rFonts w:ascii="Times New Roman;Times;serif" w:hAnsi="Times New Roman;Times;serif"/>
                <w:sz w:val="20"/>
                <w:u w:val="single"/>
              </w:rPr>
              <w:t>Starts: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Transportation and Skilled Trades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4,844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4,802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shd w:fill="CCEEFF" w:val="clear"/>
            <w:vAlign w:val="center"/>
          </w:tcPr>
          <w:p>
            <w:pPr>
              <w:pStyle w:val="TableContents"/>
              <w:bidi w:val="0"/>
              <w:spacing w:before="0" w:after="0"/>
              <w:jc w:val="left"/>
              <w:rPr/>
            </w:pPr>
            <w:r>
              <w:rPr/>
              <w:t> </w:t>
            </w:r>
          </w:p>
        </w:tc>
        <w:tc>
          <w:tcPr>
            <w:tcW w:w="80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106.1</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0.9</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Healthcare and Other Professions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807</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bottom w:val="single" w:sz="12" w:space="0" w:color="000000"/>
            </w:tcBorders>
            <w:tcMar>
              <w:bottom w:w="28" w:type="dxa"/>
            </w:tcMar>
            <w:vAlign w:val="center"/>
          </w:tcPr>
          <w:p>
            <w:pPr>
              <w:pStyle w:val="TableContents"/>
              <w:bidi w:val="0"/>
              <w:spacing w:before="0" w:after="0"/>
              <w:jc w:val="left"/>
              <w:rPr/>
            </w:pPr>
            <w:r>
              <w:rPr/>
              <w:t> </w:t>
            </w:r>
          </w:p>
        </w:tc>
        <w:tc>
          <w:tcPr>
            <w:tcW w:w="806"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39.4</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bottom w:val="single" w:sz="12" w:space="0" w:color="000000"/>
            </w:tcBorders>
            <w:tcMar>
              <w:bottom w:w="28" w:type="dxa"/>
            </w:tcMar>
            <w:vAlign w:val="center"/>
          </w:tcPr>
          <w:p>
            <w:pPr>
              <w:pStyle w:val="TableContents"/>
              <w:bidi w:val="0"/>
              <w:spacing w:before="0" w:after="0"/>
              <w:jc w:val="left"/>
              <w:rPr/>
            </w:pPr>
            <w:r>
              <w:rPr/>
              <w:t> </w:t>
            </w:r>
          </w:p>
        </w:tc>
        <w:tc>
          <w:tcPr>
            <w:tcW w:w="873"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5,969</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3,157</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5,921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806"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89.1</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0.8</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180" w:right="0" w:hanging="18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u w:val="single"/>
              </w:rPr>
            </w:pPr>
            <w:r>
              <w:rPr>
                <w:rFonts w:ascii="Times New Roman;Times;serif" w:hAnsi="Times New Roman;Times;serif"/>
                <w:sz w:val="20"/>
                <w:u w:val="single"/>
              </w:rPr>
              <w:t>Average Population: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shd w:fill="CCEEFF" w:val="clear"/>
            <w:vAlign w:val="center"/>
          </w:tcPr>
          <w:p>
            <w:pPr>
              <w:pStyle w:val="TableContents"/>
              <w:bidi w:val="0"/>
              <w:spacing w:before="0" w:after="0"/>
              <w:jc w:val="left"/>
              <w:rPr/>
            </w:pPr>
            <w:r>
              <w:rPr/>
              <w:t> </w:t>
            </w:r>
          </w:p>
        </w:tc>
        <w:tc>
          <w:tcPr>
            <w:tcW w:w="806"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Transportation and Skilled Trades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14,714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11,920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12,329</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23.4</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Healthcare and Other Professions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3,628</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3,685</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06"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18,342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15,554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16,014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bottom w:val="double" w:sz="8" w:space="0" w:color="000000"/>
            </w:tcBorders>
            <w:tcMar>
              <w:bottom w:w="28" w:type="dxa"/>
            </w:tcMar>
            <w:vAlign w:val="center"/>
          </w:tcPr>
          <w:p>
            <w:pPr>
              <w:pStyle w:val="TableContents"/>
              <w:bidi w:val="0"/>
              <w:spacing w:before="0" w:after="0"/>
              <w:jc w:val="left"/>
              <w:rPr/>
            </w:pPr>
            <w:r>
              <w:rPr/>
              <w:t> </w:t>
            </w:r>
          </w:p>
        </w:tc>
        <w:tc>
          <w:tcPr>
            <w:tcW w:w="806"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bottom w:val="double" w:sz="8" w:space="0" w:color="000000"/>
            </w:tcBorders>
            <w:tcMar>
              <w:bottom w:w="28" w:type="dxa"/>
            </w:tcMar>
            <w:vAlign w:val="center"/>
          </w:tcPr>
          <w:p>
            <w:pPr>
              <w:pStyle w:val="TableContents"/>
              <w:bidi w:val="0"/>
              <w:spacing w:before="0" w:after="0"/>
              <w:jc w:val="left"/>
              <w:rPr/>
            </w:pPr>
            <w:r>
              <w:rPr/>
              <w:t> </w:t>
            </w:r>
          </w:p>
        </w:tc>
        <w:tc>
          <w:tcPr>
            <w:tcW w:w="873"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180" w:right="0" w:hanging="18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shd w:fill="CCEEFF" w:val="clear"/>
            <w:vAlign w:val="center"/>
          </w:tcPr>
          <w:p>
            <w:pPr>
              <w:pStyle w:val="TableContents"/>
              <w:bidi w:val="0"/>
              <w:spacing w:before="0" w:after="0"/>
              <w:jc w:val="left"/>
              <w:rPr/>
            </w:pPr>
            <w:r>
              <w:rPr/>
              <w:t> </w:t>
            </w:r>
          </w:p>
        </w:tc>
        <w:tc>
          <w:tcPr>
            <w:tcW w:w="806"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u w:val="single"/>
              </w:rPr>
            </w:pPr>
            <w:r>
              <w:rPr>
                <w:rFonts w:ascii="Times New Roman;Times;serif" w:hAnsi="Times New Roman;Times;serif"/>
                <w:sz w:val="20"/>
                <w:u w:val="single"/>
              </w:rPr>
              <w:t>End of Period Population: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vAlign w:val="center"/>
          </w:tcPr>
          <w:p>
            <w:pPr>
              <w:pStyle w:val="TableContents"/>
              <w:bidi w:val="0"/>
              <w:spacing w:before="0" w:after="0"/>
              <w:jc w:val="left"/>
              <w:rPr/>
            </w:pPr>
            <w:r>
              <w:rPr/>
              <w:t> </w:t>
            </w:r>
          </w:p>
        </w:tc>
        <w:tc>
          <w:tcPr>
            <w:tcW w:w="806"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Transportation and Skilled Trades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15,302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11,050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13,502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shd w:fill="CCEEFF" w:val="clear"/>
            <w:vAlign w:val="center"/>
          </w:tcPr>
          <w:p>
            <w:pPr>
              <w:pStyle w:val="TableContents"/>
              <w:bidi w:val="0"/>
              <w:spacing w:before="0" w:after="0"/>
              <w:jc w:val="left"/>
              <w:rPr/>
            </w:pPr>
            <w:r>
              <w:rPr/>
              <w:t> </w:t>
            </w:r>
          </w:p>
        </w:tc>
        <w:tc>
          <w:tcPr>
            <w:tcW w:w="806"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Healthcare and Other Professions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3,306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3,618</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 w:type="dxa"/>
            <w:tcBorders>
              <w:bottom w:val="single" w:sz="12" w:space="0" w:color="000000"/>
            </w:tcBorders>
            <w:tcMar>
              <w:bottom w:w="28" w:type="dxa"/>
            </w:tcMar>
            <w:vAlign w:val="center"/>
          </w:tcPr>
          <w:p>
            <w:pPr>
              <w:pStyle w:val="TableContents"/>
              <w:bidi w:val="0"/>
              <w:spacing w:before="0" w:after="0"/>
              <w:jc w:val="left"/>
              <w:rPr/>
            </w:pPr>
            <w:r>
              <w:rPr/>
              <w:t> </w:t>
            </w:r>
          </w:p>
        </w:tc>
        <w:tc>
          <w:tcPr>
            <w:tcW w:w="806"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bottom w:val="single" w:sz="12" w:space="0" w:color="000000"/>
            </w:tcBorders>
            <w:tcMar>
              <w:bottom w:w="28" w:type="dxa"/>
            </w:tcMar>
            <w:vAlign w:val="center"/>
          </w:tcPr>
          <w:p>
            <w:pPr>
              <w:pStyle w:val="TableContents"/>
              <w:bidi w:val="0"/>
              <w:spacing w:before="0" w:after="0"/>
              <w:jc w:val="left"/>
              <w:rPr/>
            </w:pPr>
            <w:r>
              <w:rPr/>
              <w:t> </w:t>
            </w:r>
          </w:p>
        </w:tc>
        <w:tc>
          <w:tcPr>
            <w:tcW w:w="873"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18,904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14,356</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17,120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99"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806"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31.7</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5f97bb8d38fb45a49c3e4f1eefa10359"/>
      <w:bookmarkStart w:id="75" w:name="z5f97bb8d38fb45a49c3e4f1eefa10359"/>
      <w:bookmarkEnd w:id="75"/>
    </w:p>
    <w:tbl>
      <w:tblPr>
        <w:tblW w:w="7645" w:type="dxa"/>
        <w:jc w:val="left"/>
        <w:tblInd w:w="0" w:type="dxa"/>
        <w:tblLayout w:type="fixed"/>
        <w:tblCellMar>
          <w:top w:w="0" w:type="dxa"/>
          <w:left w:w="0" w:type="dxa"/>
          <w:bottom w:w="0" w:type="dxa"/>
          <w:right w:w="0" w:type="dxa"/>
        </w:tblCellMar>
      </w:tblPr>
      <w:tblGrid>
        <w:gridCol w:w="2795"/>
        <w:gridCol w:w="60"/>
        <w:gridCol w:w="60"/>
        <w:gridCol w:w="590"/>
        <w:gridCol w:w="60"/>
        <w:gridCol w:w="60"/>
        <w:gridCol w:w="60"/>
        <w:gridCol w:w="590"/>
        <w:gridCol w:w="60"/>
        <w:gridCol w:w="60"/>
        <w:gridCol w:w="60"/>
        <w:gridCol w:w="590"/>
        <w:gridCol w:w="60"/>
        <w:gridCol w:w="60"/>
        <w:gridCol w:w="123"/>
        <w:gridCol w:w="782"/>
        <w:gridCol w:w="245"/>
        <w:gridCol w:w="60"/>
        <w:gridCol w:w="137"/>
        <w:gridCol w:w="873"/>
        <w:gridCol w:w="260"/>
      </w:tblGrid>
      <w:tr>
        <w:trPr/>
        <w:tc>
          <w:tcPr>
            <w:tcW w:w="27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30" w:type="dxa"/>
            <w:gridSpan w:val="18"/>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260"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pPr>
            <w:r>
              <w:rPr/>
              <w:t> </w:t>
            </w:r>
            <w:r>
              <w:rPr>
                <w:rFonts w:ascii="Times New Roman;Times;serif" w:hAnsi="Times New Roman;Times;serif"/>
                <w:b/>
                <w:sz w:val="20"/>
              </w:rPr>
              <w:t>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Change*</w:t>
            </w:r>
          </w:p>
        </w:tc>
        <w:tc>
          <w:tcPr>
            <w:tcW w:w="260" w:type="dxa"/>
            <w:tcBorders/>
            <w:vAlign w:val="center"/>
          </w:tcPr>
          <w:p>
            <w:pPr>
              <w:pStyle w:val="TableContents"/>
              <w:bidi w:val="0"/>
              <w:spacing w:before="0" w:after="0"/>
              <w:jc w:val="center"/>
              <w:rPr/>
            </w:pPr>
            <w:r>
              <w:rPr/>
              <w:t> </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u w:val="single"/>
              </w:rPr>
            </w:pPr>
            <w:r>
              <w:rPr>
                <w:rFonts w:ascii="Times New Roman;Times;serif" w:hAnsi="Times New Roman;Times;serif"/>
                <w:sz w:val="20"/>
                <w:u w:val="single"/>
              </w:rPr>
              <w:t>Starts: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Transportation and Skilled Trades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9,241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5,901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8,353</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56.6</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Healthcare and Other Professions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2,237</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1,866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2,178</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bottom w:val="single" w:sz="12" w:space="0" w:color="000000"/>
            </w:tcBorders>
            <w:tcMar>
              <w:bottom w:w="28" w:type="dxa"/>
            </w:tcMar>
            <w:vAlign w:val="center"/>
          </w:tcPr>
          <w:p>
            <w:pPr>
              <w:pStyle w:val="TableContents"/>
              <w:bidi w:val="0"/>
              <w:spacing w:before="0" w:after="0"/>
              <w:jc w:val="left"/>
              <w:rPr/>
            </w:pPr>
            <w:r>
              <w:rPr/>
              <w:t> </w:t>
            </w:r>
          </w:p>
        </w:tc>
        <w:tc>
          <w:tcPr>
            <w:tcW w:w="782"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19.9</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bottom w:val="single" w:sz="12" w:space="0" w:color="000000"/>
            </w:tcBorders>
            <w:tcMar>
              <w:bottom w:w="28" w:type="dxa"/>
            </w:tcMar>
            <w:vAlign w:val="center"/>
          </w:tcPr>
          <w:p>
            <w:pPr>
              <w:pStyle w:val="TableContents"/>
              <w:bidi w:val="0"/>
              <w:spacing w:before="0" w:after="0"/>
              <w:jc w:val="left"/>
              <w:rPr/>
            </w:pPr>
            <w:r>
              <w:rPr/>
              <w:t> </w:t>
            </w:r>
          </w:p>
        </w:tc>
        <w:tc>
          <w:tcPr>
            <w:tcW w:w="873"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11,478</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7,767</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10,531</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782"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47.8</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180" w:right="0" w:hanging="18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u w:val="single"/>
              </w:rPr>
            </w:pPr>
            <w:r>
              <w:rPr>
                <w:rFonts w:ascii="Times New Roman;Times;serif" w:hAnsi="Times New Roman;Times;serif"/>
                <w:sz w:val="20"/>
                <w:u w:val="single"/>
              </w:rPr>
              <w:t>Average Population: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Transportation and Skilled Trades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14,705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11,807</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12,012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24.5</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Healthcare and Other Professions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3,610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3,730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782"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single" w:sz="1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18,315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15,511</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double" w:sz="8" w:space="0" w:color="000000"/>
            </w:tcBorders>
            <w:tcMar>
              <w:bottom w:w="28" w:type="dxa"/>
            </w:tcMar>
            <w:vAlign w:val="center"/>
          </w:tcPr>
          <w:p>
            <w:pPr>
              <w:pStyle w:val="TableContents"/>
              <w:bidi w:val="0"/>
              <w:spacing w:before="0" w:after="0"/>
              <w:jc w:val="left"/>
              <w:rPr/>
            </w:pPr>
            <w:r>
              <w:rPr/>
              <w:t> </w:t>
            </w:r>
          </w:p>
        </w:tc>
        <w:tc>
          <w:tcPr>
            <w:tcW w:w="590"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15,742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bottom w:val="double" w:sz="8" w:space="0" w:color="000000"/>
            </w:tcBorders>
            <w:tcMar>
              <w:bottom w:w="28" w:type="dxa"/>
            </w:tcMar>
            <w:vAlign w:val="center"/>
          </w:tcPr>
          <w:p>
            <w:pPr>
              <w:pStyle w:val="TableContents"/>
              <w:bidi w:val="0"/>
              <w:spacing w:before="0" w:after="0"/>
              <w:jc w:val="left"/>
              <w:rPr/>
            </w:pPr>
            <w:r>
              <w:rPr/>
              <w:t> </w:t>
            </w:r>
          </w:p>
        </w:tc>
        <w:tc>
          <w:tcPr>
            <w:tcW w:w="782"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bottom w:val="double" w:sz="8" w:space="0" w:color="000000"/>
            </w:tcBorders>
            <w:tcMar>
              <w:bottom w:w="28" w:type="dxa"/>
            </w:tcMar>
            <w:vAlign w:val="center"/>
          </w:tcPr>
          <w:p>
            <w:pPr>
              <w:pStyle w:val="TableContents"/>
              <w:bidi w:val="0"/>
              <w:spacing w:before="0" w:after="0"/>
              <w:jc w:val="left"/>
              <w:rPr/>
            </w:pPr>
            <w:r>
              <w:rPr/>
              <w:t> </w:t>
            </w:r>
          </w:p>
        </w:tc>
        <w:tc>
          <w:tcPr>
            <w:tcW w:w="873" w:type="dxa"/>
            <w:tcBorders>
              <w:bottom w:val="double" w:sz="8"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16.3</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180" w:right="0" w:hanging="18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0"/>
              <w:jc w:val="left"/>
              <w:rPr/>
            </w:pPr>
            <w:r>
              <w:rPr/>
              <w:t> </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u w:val="single"/>
              </w:rPr>
            </w:pPr>
            <w:r>
              <w:rPr>
                <w:rFonts w:ascii="Times New Roman;Times;serif" w:hAnsi="Times New Roman;Times;serif"/>
                <w:sz w:val="20"/>
                <w:u w:val="single"/>
              </w:rPr>
              <w:t>End of Period Population: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7"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Transportation and Skilled Trades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15,302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11,050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13,502</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shd w:fill="CCEEFF" w:val="clear"/>
            <w:vAlign w:val="center"/>
          </w:tcPr>
          <w:p>
            <w:pPr>
              <w:pStyle w:val="TableContents"/>
              <w:bidi w:val="0"/>
              <w:spacing w:before="0" w:after="0"/>
              <w:jc w:val="left"/>
              <w:rPr/>
            </w:pPr>
            <w:r>
              <w:rPr/>
              <w:t> </w:t>
            </w:r>
          </w:p>
        </w:tc>
        <w:tc>
          <w:tcPr>
            <w:tcW w:w="782"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38.5</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Healthcare and Other Professions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3,602</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3,306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3,618</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 w:type="dxa"/>
            <w:tcBorders>
              <w:bottom w:val="single" w:sz="12" w:space="0" w:color="000000"/>
            </w:tcBorders>
            <w:tcMar>
              <w:bottom w:w="28" w:type="dxa"/>
            </w:tcMar>
            <w:vAlign w:val="center"/>
          </w:tcPr>
          <w:p>
            <w:pPr>
              <w:pStyle w:val="TableContents"/>
              <w:bidi w:val="0"/>
              <w:spacing w:before="0" w:after="0"/>
              <w:jc w:val="left"/>
              <w:rPr/>
            </w:pPr>
            <w:r>
              <w:rPr/>
              <w:t> </w:t>
            </w:r>
          </w:p>
        </w:tc>
        <w:tc>
          <w:tcPr>
            <w:tcW w:w="782"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w:t>
            </w:r>
          </w:p>
        </w:tc>
        <w:tc>
          <w:tcPr>
            <w:tcW w:w="2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center"/>
          </w:tcPr>
          <w:p>
            <w:pPr>
              <w:pStyle w:val="TableContents"/>
              <w:bidi w:val="0"/>
              <w:spacing w:before="0" w:after="0"/>
              <w:jc w:val="left"/>
              <w:rPr/>
            </w:pPr>
            <w:r>
              <w:rPr/>
              <w:t> </w:t>
            </w:r>
          </w:p>
        </w:tc>
        <w:tc>
          <w:tcPr>
            <w:tcW w:w="137" w:type="dxa"/>
            <w:tcBorders>
              <w:bottom w:val="single" w:sz="12" w:space="0" w:color="000000"/>
            </w:tcBorders>
            <w:tcMar>
              <w:bottom w:w="28" w:type="dxa"/>
            </w:tcMar>
            <w:vAlign w:val="center"/>
          </w:tcPr>
          <w:p>
            <w:pPr>
              <w:pStyle w:val="TableContents"/>
              <w:bidi w:val="0"/>
              <w:spacing w:before="0" w:after="0"/>
              <w:jc w:val="left"/>
              <w:rPr/>
            </w:pPr>
            <w:r>
              <w:rPr/>
              <w:t> </w:t>
            </w:r>
          </w:p>
        </w:tc>
        <w:tc>
          <w:tcPr>
            <w:tcW w:w="873" w:type="dxa"/>
            <w:tcBorders>
              <w:bottom w:val="single" w:sz="12" w:space="0" w:color="000000"/>
            </w:tcBorders>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18,904</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14,356</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590"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17,120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3"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782"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31.7</w:t>
            </w:r>
          </w:p>
        </w:tc>
        <w:tc>
          <w:tcPr>
            <w:tcW w:w="24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873" w:type="dxa"/>
            <w:tcBorders>
              <w:bottom w:val="double" w:sz="8"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w:t>
            </w:r>
          </w:p>
        </w:tc>
        <w:tc>
          <w:tcPr>
            <w:tcW w:w="26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i/>
          <w:color w:val="000000"/>
          <w:sz w:val="20"/>
        </w:rPr>
        <w:t>*</w:t>
      </w:r>
      <w:r>
        <w:rPr>
          <w:rFonts w:ascii="Times New Roman" w:hAnsi="Times New Roman"/>
          <w:color w:val="000000"/>
          <w:sz w:val="20"/>
        </w:rPr>
        <w:t> </w:t>
      </w:r>
      <w:r>
        <w:rPr>
          <w:rFonts w:ascii="Times New Roman" w:hAnsi="Times New Roman"/>
          <w:i/>
          <w:color w:val="000000"/>
          <w:sz w:val="20"/>
        </w:rPr>
        <w:t>2025 figures include 2,764 student starts on July 1, 2025, to align with comparable student start activity in the current year during the last week of June 2026, returning to our typical start schedule.</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reconciliations provided below represent management’s projections of various components included in our outlook for the full year 2026.  These calculations are for illustrative purposes and will be reviewed as the year progresses to reflect actual results, our outlook and continued relevance of specific items. Any revisions or modifications, if necessary, will be disclosed in future announcements of 2026 quarterly results. Adjusted EBITDA and net income have been reconciled to the midpoint of our guidance.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Net Income to Adjusted EBITDA - 2026 Guidance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(Reconciled to the Mid-Point of 2026 Guidance)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6" w:name="z3d5932284be948a39adb13ccda697c06"/>
      <w:bookmarkStart w:id="77" w:name="z3d5932284be948a39adb13ccda697c06"/>
      <w:bookmarkEnd w:id="77"/>
    </w:p>
    <w:tbl>
      <w:tblPr>
        <w:tblW w:w="4590" w:type="dxa"/>
        <w:jc w:val="left"/>
        <w:tblInd w:w="0" w:type="dxa"/>
        <w:tblLayout w:type="fixed"/>
        <w:tblCellMar>
          <w:top w:w="0" w:type="dxa"/>
          <w:left w:w="0" w:type="dxa"/>
          <w:bottom w:w="0" w:type="dxa"/>
          <w:right w:w="0" w:type="dxa"/>
        </w:tblCellMar>
      </w:tblPr>
      <w:tblGrid>
        <w:gridCol w:w="2915"/>
        <w:gridCol w:w="60"/>
        <w:gridCol w:w="125"/>
        <w:gridCol w:w="1415"/>
        <w:gridCol w:w="75"/>
      </w:tblGrid>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EBITDA</w:t>
            </w:r>
          </w:p>
        </w:tc>
        <w:tc>
          <w:tcPr>
            <w:tcW w:w="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24,500</w:t>
            </w:r>
          </w:p>
        </w:tc>
        <w:tc>
          <w:tcPr>
            <w:tcW w:w="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Interest expense,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4,000</w:t>
            </w:r>
          </w:p>
        </w:tc>
        <w:tc>
          <w:tcPr>
            <w:tcW w:w="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1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10,300</w:t>
            </w:r>
          </w:p>
        </w:tc>
        <w:tc>
          <w:tcPr>
            <w:tcW w:w="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Depreciation and amortization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33,000</w:t>
            </w:r>
          </w:p>
        </w:tc>
        <w:tc>
          <w:tcPr>
            <w:tcW w:w="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EBITDA</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71,800</w:t>
            </w:r>
          </w:p>
        </w:tc>
        <w:tc>
          <w:tcPr>
            <w:tcW w:w="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Stock-based compensation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6,200</w:t>
            </w:r>
          </w:p>
        </w:tc>
        <w:tc>
          <w:tcPr>
            <w:tcW w:w="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78,000</w:t>
            </w:r>
          </w:p>
        </w:tc>
        <w:tc>
          <w:tcPr>
            <w:tcW w:w="75" w:type="dxa"/>
            <w:tcBorders/>
            <w:shd w:fill="CCEEFF" w:val="clear"/>
            <w:vAlign w:val="bottom"/>
          </w:tcPr>
          <w:p>
            <w:pPr>
              <w:pStyle w:val="TableContents"/>
              <w:bidi w:val="0"/>
              <w:spacing w:before="0" w:after="283"/>
              <w:jc w:val="left"/>
              <w:rPr/>
            </w:pPr>
            <w:r>
              <w:rPr/>
              <w:t> </w:t>
            </w:r>
          </w:p>
        </w:tc>
      </w:tr>
      <w:tr>
        <w:trPr/>
        <w:tc>
          <w:tcPr>
            <w:tcW w:w="29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91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2026 Guidance Range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1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76,000 - $80,000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LINCOLN EDUCATIONAL SERVICES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Brian Meyers, CFO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973-736-9340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EVC GROUP LLC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Investor Relations: Michael Polyviou, </w:t>
      </w:r>
      <w:r>
        <w:rPr>
          <w:rFonts w:ascii="Times New Roman" w:hAnsi="Times New Roman"/>
          <w:color w:val="000000"/>
          <w:sz w:val="20"/>
          <w:u w:val="single"/>
        </w:rPr>
        <w:t>mpolyviou@evcgroup.com</w:t>
      </w:r>
      <w:r>
        <w:rPr>
          <w:rFonts w:ascii="Times New Roman" w:hAnsi="Times New Roman"/>
          <w:color w:val="000000"/>
          <w:sz w:val="20"/>
        </w:rPr>
        <w:t>, 732-933-2754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Media Relations: Tom Gibson, 201-476-0322</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4652</Words>
  <Characters>25867</Characters>
  <CharactersWithSpaces>31301</CharactersWithSpaces>
  <Paragraphs>2756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