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5880_10q.htm"/>
      <w:bookmarkStart w:id="1" w:name="ksef20075880_10q"/>
      <w:bookmarkStart w:id="2" w:name="ef20075880_10q.htm"/>
      <w:bookmarkStart w:id="3" w:name="ksef20075880_10q"/>
      <w:bookmarkEnd w:id="2"/>
      <w:bookmarkEnd w:id="3"/>
    </w:p>
    <w:p>
      <w:pPr>
        <w:pStyle w:val="TextBody"/>
        <w:bidi w:val="0"/>
        <w:spacing w:before="0" w:after="0"/>
        <w:jc w:val="center"/>
        <w:rPr>
          <w:rFonts w:ascii="Times New Roman" w:hAnsi="Times New Roman"/>
          <w:sz w:val="28"/>
        </w:rPr>
      </w:pPr>
      <w:r>
        <w:rPr>
          <w:rFonts w:ascii="Times New Roman" w:hAnsi="Times New Roman"/>
          <w:b/>
          <w:color w:val="000000"/>
          <w:sz w:val="28"/>
        </w:rPr>
        <w:t>UNITED STATES</w:t>
      </w:r>
      <w:r>
        <w:rPr>
          <w:rFonts w:ascii="Times New Roman" w:hAnsi="Times New Roman"/>
          <w:sz w:val="28"/>
        </w:rPr>
        <w:t xml:space="preserve"> </w:t>
      </w:r>
    </w:p>
    <w:p>
      <w:pPr>
        <w:pStyle w:val="TextBody"/>
        <w:bidi w:val="0"/>
        <w:spacing w:before="0" w:after="0"/>
        <w:jc w:val="center"/>
        <w:rPr>
          <w:rFonts w:ascii="Times New Roman" w:hAnsi="Times New Roman"/>
          <w:sz w:val="28"/>
        </w:rPr>
      </w:pPr>
      <w:r>
        <w:rPr>
          <w:rFonts w:ascii="Times New Roman" w:hAnsi="Times New Roman"/>
          <w:b/>
          <w:color w:val="000000"/>
          <w:sz w:val="28"/>
        </w:rPr>
        <w:t>SECURITIES AND EXCHANGE COMMISSION</w:t>
      </w:r>
      <w:r>
        <w:rPr>
          <w:rFonts w:ascii="Times New Roman" w:hAnsi="Times New Roman"/>
          <w:sz w:val="28"/>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sz w:val="24"/>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36"/>
        </w:rPr>
      </w:pPr>
      <w:r>
        <w:rPr>
          <w:rFonts w:ascii="Times New Roman" w:hAnsi="Times New Roman"/>
          <w:b/>
          <w:color w:val="000000"/>
          <w:sz w:val="36"/>
        </w:rPr>
        <w:t>FORM 10-Q</w:t>
      </w:r>
      <w:r>
        <w:rPr>
          <w:rFonts w:ascii="Times New Roman" w:hAnsi="Times New Roman"/>
          <w:sz w:val="36"/>
        </w:rPr>
        <w:t xml:space="preserve"> </w:t>
      </w:r>
    </w:p>
    <w:p>
      <w:pPr>
        <w:pStyle w:val="TextBody"/>
        <w:bidi w:val="0"/>
        <w:spacing w:before="0" w:after="0"/>
        <w:jc w:val="center"/>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(Mark One)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1215"/>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sz w:val="20"/>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180"/>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or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1215"/>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sz w:val="20"/>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540" w:right="0" w:hanging="0"/>
        <w:jc w:val="left"/>
        <w:rPr>
          <w:rFonts w:ascii="Times New Roman" w:hAnsi="Times New Roman"/>
          <w:sz w:val="20"/>
        </w:rPr>
      </w:pPr>
      <w:r>
        <w:rPr>
          <w:rFonts w:ascii="Times New Roman" w:hAnsi="Times New Roman"/>
          <w:b/>
          <w:color w:val="000000"/>
          <w:sz w:val="20"/>
        </w:rPr>
        <w:t>For the transition period from______ to______</w:t>
      </w:r>
      <w:r>
        <w:rPr>
          <w:rFonts w:ascii="Times New Roman" w:hAnsi="Times New Roman"/>
          <w:sz w:val="20"/>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 w:hAnsi="Times New Roman"/>
          <w:b/>
          <w:color w:val="000000"/>
          <w:sz w:val="20"/>
        </w:rPr>
        <w:t>Commission File Number 000-51371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48"/>
        </w:rPr>
      </w:pPr>
      <w:r>
        <w:rPr>
          <w:rFonts w:ascii="Times New Roman" w:hAnsi="Times New Roman"/>
          <w:b/>
          <w:color w:val="000000"/>
          <w:sz w:val="48"/>
        </w:rPr>
        <w:t>LINCOLN EDUCATIONAL SERVICES CORPORATION</w:t>
      </w:r>
      <w:r>
        <w:rPr>
          <w:rFonts w:ascii="Times New Roman" w:hAnsi="Times New Roman"/>
          <w:sz w:val="48"/>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(Exact name of registrant as specified in its charter)</w:t>
      </w:r>
      <w:r>
        <w:rPr>
          <w:rFonts w:ascii="Times New Roman" w:hAnsi="Times New Roman"/>
          <w:sz w:val="20"/>
        </w:rPr>
        <w:t xml:space="preserve"> </w:t>
      </w:r>
    </w:p>
    <w:p>
      <w:pPr>
        <w:pStyle w:val="TextBody"/>
        <w:bidi w:val="0"/>
        <w:spacing w:before="0" w:after="0"/>
        <w:jc w:val="center"/>
        <w:rPr/>
      </w:pPr>
      <w:r>
        <w:rPr/>
        <w:t xml:space="preserve">  </w:t>
      </w:r>
    </w:p>
    <w:tbl>
      <w:tblPr>
        <w:tblW w:w="9598" w:type="dxa"/>
        <w:jc w:val="left"/>
        <w:tblInd w:w="0" w:type="dxa"/>
        <w:tblLayout w:type="fixed"/>
        <w:tblCellMar>
          <w:top w:w="28" w:type="dxa"/>
          <w:left w:w="28" w:type="dxa"/>
          <w:bottom w:w="28" w:type="dxa"/>
          <w:right w:w="28" w:type="dxa"/>
        </w:tblCellMar>
      </w:tblPr>
      <w:tblGrid>
        <w:gridCol w:w="5761"/>
        <w:gridCol w:w="206"/>
        <w:gridCol w:w="3631"/>
      </w:tblGrid>
      <w:tr>
        <w:trPr/>
        <w:tc>
          <w:tcPr>
            <w:tcW w:w="57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5761" w:type="dxa"/>
            <w:tcBorders/>
            <w:tcMar>
              <w:top w:w="0" w:type="dxa"/>
              <w:left w:w="0" w:type="dxa"/>
              <w:bottom w:w="0" w:type="dxa"/>
              <w:right w:w="0" w:type="dxa"/>
            </w:tcMar>
            <w:vAlign w:val="center"/>
          </w:tcPr>
          <w:p>
            <w:pPr>
              <w:pStyle w:val="TableContents"/>
              <w:bidi w:val="0"/>
              <w:spacing w:before="0" w:after="0"/>
              <w:jc w:val="center"/>
              <w:rPr/>
            </w:pPr>
            <w:r>
              <w:rPr>
                <w:b/>
                <w:color w:val="000000"/>
              </w:rPr>
              <w:t>New Jersey</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3631" w:type="dxa"/>
            <w:tcBorders/>
            <w:tcMar>
              <w:top w:w="0" w:type="dxa"/>
              <w:left w:w="0" w:type="dxa"/>
              <w:bottom w:w="0" w:type="dxa"/>
              <w:right w:w="0" w:type="dxa"/>
            </w:tcMar>
            <w:vAlign w:val="center"/>
          </w:tcPr>
          <w:p>
            <w:pPr>
              <w:pStyle w:val="TableContents"/>
              <w:bidi w:val="0"/>
              <w:spacing w:before="0" w:after="0"/>
              <w:jc w:val="center"/>
              <w:rPr/>
            </w:pPr>
            <w:r>
              <w:rPr>
                <w:b/>
                <w:color w:val="000000"/>
              </w:rPr>
              <w:t>57-1150621</w:t>
            </w:r>
            <w:r>
              <w:rPr/>
              <w:t xml:space="preserve"> </w:t>
            </w:r>
          </w:p>
        </w:tc>
      </w:tr>
      <w:tr>
        <w:trPr/>
        <w:tc>
          <w:tcPr>
            <w:tcW w:w="5761" w:type="dxa"/>
            <w:tcBorders/>
            <w:tcMar>
              <w:top w:w="0" w:type="dxa"/>
              <w:left w:w="0" w:type="dxa"/>
              <w:bottom w:w="0" w:type="dxa"/>
              <w:right w:w="0" w:type="dxa"/>
            </w:tcMar>
            <w:vAlign w:val="center"/>
          </w:tcPr>
          <w:p>
            <w:pPr>
              <w:pStyle w:val="TableContents"/>
              <w:bidi w:val="0"/>
              <w:spacing w:before="0" w:after="0"/>
              <w:jc w:val="center"/>
              <w:rPr/>
            </w:pPr>
            <w:r>
              <w:rPr>
                <w:color w:val="000000"/>
              </w:rPr>
              <w:t>(State or other jurisdiction of incorporation or organization)</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3631" w:type="dxa"/>
            <w:tcBorders/>
            <w:tcMar>
              <w:top w:w="0" w:type="dxa"/>
              <w:left w:w="0" w:type="dxa"/>
              <w:bottom w:w="0" w:type="dxa"/>
              <w:right w:w="0" w:type="dxa"/>
            </w:tcMar>
            <w:vAlign w:val="center"/>
          </w:tcPr>
          <w:p>
            <w:pPr>
              <w:pStyle w:val="TableContents"/>
              <w:bidi w:val="0"/>
              <w:spacing w:before="0" w:after="0"/>
              <w:jc w:val="center"/>
              <w:rPr/>
            </w:pPr>
            <w:r>
              <w:rPr>
                <w:color w:val="000000"/>
              </w:rPr>
              <w:t>(I.R.S. Employer Identification No.)</w:t>
            </w:r>
            <w:r>
              <w:rPr/>
              <w:t xml:space="preserve"> </w:t>
            </w:r>
          </w:p>
        </w:tc>
      </w:tr>
    </w:tbl>
    <w:p>
      <w:pPr>
        <w:pStyle w:val="TextBody"/>
        <w:bidi w:val="0"/>
        <w:spacing w:before="0" w:after="0"/>
        <w:jc w:val="left"/>
        <w:rPr/>
      </w:pPr>
      <w:r>
        <w:rPr/>
        <w:t xml:space="preserve">  </w:t>
      </w:r>
    </w:p>
    <w:tbl>
      <w:tblPr>
        <w:tblW w:w="5368" w:type="dxa"/>
        <w:jc w:val="left"/>
        <w:tblInd w:w="0" w:type="dxa"/>
        <w:tblLayout w:type="fixed"/>
        <w:tblCellMar>
          <w:top w:w="28" w:type="dxa"/>
          <w:left w:w="28" w:type="dxa"/>
          <w:bottom w:w="28" w:type="dxa"/>
          <w:right w:w="28" w:type="dxa"/>
        </w:tblCellMar>
      </w:tblPr>
      <w:tblGrid>
        <w:gridCol w:w="3901"/>
        <w:gridCol w:w="206"/>
        <w:gridCol w:w="1261"/>
      </w:tblGrid>
      <w:tr>
        <w:trPr/>
        <w:tc>
          <w:tcPr>
            <w:tcW w:w="39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0"/>
              <w:jc w:val="center"/>
              <w:rPr/>
            </w:pPr>
            <w:r>
              <w:rPr>
                <w:b/>
                <w:color w:val="000000"/>
              </w:rPr>
              <w:t>14 Sylvan Way, Suite A</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1261" w:type="dxa"/>
            <w:tcBorders/>
            <w:tcMar>
              <w:top w:w="0" w:type="dxa"/>
              <w:left w:w="0" w:type="dxa"/>
              <w:bottom w:w="0" w:type="dxa"/>
              <w:right w:w="0" w:type="dxa"/>
            </w:tcMar>
            <w:vAlign w:val="center"/>
          </w:tcPr>
          <w:p>
            <w:pPr>
              <w:pStyle w:val="TableContents"/>
              <w:bidi w:val="0"/>
              <w:spacing w:before="0" w:after="0"/>
              <w:jc w:val="center"/>
              <w:rPr/>
            </w:pPr>
            <w:r>
              <w:rPr>
                <w:b/>
                <w:color w:val="000000"/>
              </w:rPr>
              <w:t>07054</w:t>
            </w:r>
            <w:r>
              <w:rPr/>
              <w:t xml:space="preserve"> </w:t>
            </w:r>
          </w:p>
        </w:tc>
      </w:tr>
      <w:tr>
        <w:trPr/>
        <w:tc>
          <w:tcPr>
            <w:tcW w:w="3901" w:type="dxa"/>
            <w:tcBorders/>
            <w:tcMar>
              <w:top w:w="0" w:type="dxa"/>
              <w:left w:w="0" w:type="dxa"/>
              <w:bottom w:w="0" w:type="dxa"/>
              <w:right w:w="0" w:type="dxa"/>
            </w:tcMar>
            <w:vAlign w:val="center"/>
          </w:tcPr>
          <w:p>
            <w:pPr>
              <w:pStyle w:val="TableContents"/>
              <w:bidi w:val="0"/>
              <w:spacing w:before="0" w:after="0"/>
              <w:jc w:val="center"/>
              <w:rPr/>
            </w:pPr>
            <w:r>
              <w:rPr>
                <w:b/>
                <w:color w:val="000000"/>
              </w:rPr>
              <w:t>Parsippany, NJ</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1261" w:type="dxa"/>
            <w:tcBorders/>
            <w:tcMar>
              <w:top w:w="0" w:type="dxa"/>
              <w:left w:w="0" w:type="dxa"/>
              <w:bottom w:w="0" w:type="dxa"/>
              <w:right w:w="0" w:type="dxa"/>
            </w:tcMar>
            <w:vAlign w:val="center"/>
          </w:tcPr>
          <w:p>
            <w:pPr>
              <w:pStyle w:val="TableContents"/>
              <w:bidi w:val="0"/>
              <w:spacing w:before="0" w:after="0"/>
              <w:jc w:val="center"/>
              <w:rPr/>
            </w:pPr>
            <w:r>
              <w:rPr>
                <w:color w:val="000000"/>
              </w:rPr>
              <w:t>(Zip Code)</w:t>
            </w:r>
            <w:r>
              <w:rPr/>
              <w:t xml:space="preserve"> </w:t>
            </w:r>
          </w:p>
        </w:tc>
      </w:tr>
      <w:tr>
        <w:trPr/>
        <w:tc>
          <w:tcPr>
            <w:tcW w:w="3901" w:type="dxa"/>
            <w:tcBorders/>
            <w:tcMar>
              <w:top w:w="0" w:type="dxa"/>
              <w:left w:w="0" w:type="dxa"/>
              <w:bottom w:w="0" w:type="dxa"/>
              <w:right w:w="0" w:type="dxa"/>
            </w:tcMar>
            <w:vAlign w:val="center"/>
          </w:tcPr>
          <w:p>
            <w:pPr>
              <w:pStyle w:val="TableContents"/>
              <w:bidi w:val="0"/>
              <w:spacing w:before="0" w:after="0"/>
              <w:jc w:val="center"/>
              <w:rPr/>
            </w:pPr>
            <w:r>
              <w:rPr>
                <w:color w:val="000000"/>
              </w:rPr>
              <w:t>(Address of principal executive offices)</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126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(973) 736-9340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(Registrant’s telephone number, including area code)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Securities</w:t>
      </w:r>
      <w:r>
        <w:rPr>
          <w:rFonts w:ascii="Times New Roman" w:hAnsi="Times New Roman"/>
          <w:color w:val="231F20"/>
          <w:sz w:val="20"/>
        </w:rPr>
        <w:t xml:space="preserve"> registered pursuant to Section 12(b) of the Act:</w:t>
      </w:r>
      <w:r>
        <w:rPr>
          <w:rFonts w:ascii="Times New Roman" w:hAnsi="Times New Roman"/>
          <w:sz w:val="20"/>
        </w:rPr>
        <w:t xml:space="preserve"> </w:t>
      </w:r>
    </w:p>
    <w:p>
      <w:pPr>
        <w:pStyle w:val="TextBody"/>
        <w:bidi w:val="0"/>
        <w:spacing w:before="0" w:after="0"/>
        <w:jc w:val="left"/>
        <w:rPr/>
      </w:pPr>
      <w:r>
        <w:rPr/>
        <w:t xml:space="preserve">  </w:t>
      </w:r>
    </w:p>
    <w:tbl>
      <w:tblPr>
        <w:tblW w:w="9423" w:type="dxa"/>
        <w:jc w:val="left"/>
        <w:tblInd w:w="0" w:type="dxa"/>
        <w:tblLayout w:type="fixed"/>
        <w:tblCellMar>
          <w:top w:w="28" w:type="dxa"/>
          <w:left w:w="28" w:type="dxa"/>
          <w:bottom w:w="28" w:type="dxa"/>
          <w:right w:w="28" w:type="dxa"/>
        </w:tblCellMar>
      </w:tblPr>
      <w:tblGrid>
        <w:gridCol w:w="3871"/>
        <w:gridCol w:w="1141"/>
        <w:gridCol w:w="4411"/>
      </w:tblGrid>
      <w:tr>
        <w:trPr/>
        <w:tc>
          <w:tcPr>
            <w:tcW w:w="387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4411" w:type="dxa"/>
            <w:tcBorders/>
            <w:vAlign w:val="center"/>
          </w:tcPr>
          <w:p>
            <w:pPr>
              <w:pStyle w:val="TableContents"/>
              <w:bidi w:val="0"/>
              <w:spacing w:before="0" w:after="283"/>
              <w:jc w:val="left"/>
              <w:rPr/>
            </w:pPr>
            <w:r>
              <w:rPr/>
              <w:t> </w:t>
            </w:r>
          </w:p>
        </w:tc>
      </w:tr>
      <w:tr>
        <w:trPr/>
        <w:tc>
          <w:tcPr>
            <w:tcW w:w="387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pPr>
            <w:r>
              <w:rPr>
                <w:color w:val="231F20"/>
              </w:rPr>
              <w:t>Title of each class</w:t>
            </w:r>
            <w:r>
              <w:rPr/>
              <w:t xml:space="preserve"> </w:t>
            </w:r>
          </w:p>
        </w:tc>
        <w:tc>
          <w:tcPr>
            <w:tcW w:w="1141"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pPr>
            <w:r>
              <w:rPr>
                <w:color w:val="231F20"/>
              </w:rPr>
              <w:t xml:space="preserve">Trading </w:t>
              <w:br/>
              <w:t>Symbol(s)</w:t>
            </w:r>
            <w:r>
              <w:rPr/>
              <w:t xml:space="preserve"> </w:t>
            </w:r>
          </w:p>
        </w:tc>
        <w:tc>
          <w:tcPr>
            <w:tcW w:w="4411"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pPr>
            <w:r>
              <w:rPr>
                <w:color w:val="231F20"/>
              </w:rPr>
              <w:t>Name of each exchange on which registered</w:t>
            </w:r>
            <w:r>
              <w:rPr/>
              <w:t xml:space="preserve"> </w:t>
            </w:r>
          </w:p>
        </w:tc>
      </w:tr>
      <w:tr>
        <w:trPr/>
        <w:tc>
          <w:tcPr>
            <w:tcW w:w="387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pPr>
            <w:r>
              <w:rPr>
                <w:color w:val="000000"/>
              </w:rPr>
              <w:t>Common Stock, no par value per share</w:t>
            </w:r>
            <w:r>
              <w:rPr/>
              <w:t xml:space="preserve"> </w:t>
            </w:r>
          </w:p>
        </w:tc>
        <w:tc>
          <w:tcPr>
            <w:tcW w:w="1141"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color w:val="000000"/>
              </w:rPr>
              <w:t>LINC</w:t>
            </w:r>
            <w:r>
              <w:rPr/>
              <w:t xml:space="preserve"> </w:t>
            </w:r>
          </w:p>
        </w:tc>
        <w:tc>
          <w:tcPr>
            <w:tcW w:w="4411"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color w:val="000000"/>
              </w:rPr>
              <w:t>The Nasdaq Stock Market LLC</w:t>
            </w:r>
            <w:r>
              <w:rPr/>
              <w:t xml:space="preserv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xml:space="preserve">  </w:t>
      </w:r>
    </w:p>
    <w:tbl>
      <w:tblPr>
        <w:tblW w:w="6298" w:type="dxa"/>
        <w:jc w:val="left"/>
        <w:tblInd w:w="0" w:type="dxa"/>
        <w:tblLayout w:type="fixed"/>
        <w:tblCellMar>
          <w:top w:w="28" w:type="dxa"/>
          <w:left w:w="28" w:type="dxa"/>
          <w:bottom w:w="28" w:type="dxa"/>
          <w:right w:w="28" w:type="dxa"/>
        </w:tblCellMar>
      </w:tblPr>
      <w:tblGrid>
        <w:gridCol w:w="221"/>
        <w:gridCol w:w="3031"/>
        <w:gridCol w:w="3046"/>
      </w:tblGrid>
      <w:tr>
        <w:trPr/>
        <w:tc>
          <w:tcPr>
            <w:tcW w:w="221" w:type="dxa"/>
            <w:tcBorders/>
            <w:vAlign w:val="center"/>
          </w:tcPr>
          <w:p>
            <w:pPr>
              <w:pStyle w:val="TableContents"/>
              <w:bidi w:val="0"/>
              <w:spacing w:before="0" w:after="283"/>
              <w:jc w:val="left"/>
              <w:rPr/>
            </w:pPr>
            <w:r>
              <w:rPr/>
              <w:t> </w:t>
            </w:r>
          </w:p>
        </w:tc>
        <w:tc>
          <w:tcPr>
            <w:tcW w:w="3031"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3031" w:type="dxa"/>
            <w:tcBorders/>
            <w:tcMar>
              <w:top w:w="0" w:type="dxa"/>
              <w:left w:w="0" w:type="dxa"/>
              <w:bottom w:w="0" w:type="dxa"/>
              <w:right w:w="0" w:type="dxa"/>
            </w:tcMar>
            <w:vAlign w:val="center"/>
          </w:tcPr>
          <w:p>
            <w:pPr>
              <w:pStyle w:val="TableContents"/>
              <w:bidi w:val="0"/>
              <w:spacing w:before="0" w:after="0"/>
              <w:jc w:val="left"/>
              <w:rPr/>
            </w:pPr>
            <w:r>
              <w:rPr>
                <w:color w:val="000000"/>
              </w:rPr>
              <w:t>Large accelerated filer ☐</w:t>
            </w:r>
            <w:r>
              <w:rPr/>
              <w:t xml:space="preserve"> </w:t>
            </w:r>
          </w:p>
        </w:tc>
        <w:tc>
          <w:tcPr>
            <w:tcW w:w="3046" w:type="dxa"/>
            <w:tcBorders/>
            <w:tcMar>
              <w:top w:w="0" w:type="dxa"/>
              <w:left w:w="0" w:type="dxa"/>
              <w:bottom w:w="0" w:type="dxa"/>
              <w:right w:w="0" w:type="dxa"/>
            </w:tcMar>
            <w:vAlign w:val="center"/>
          </w:tcPr>
          <w:p>
            <w:pPr>
              <w:pStyle w:val="TableContents"/>
              <w:bidi w:val="0"/>
              <w:spacing w:before="0" w:after="0"/>
              <w:jc w:val="left"/>
              <w:rPr/>
            </w:pPr>
            <w:r>
              <w:rPr>
                <w:color w:val="000000"/>
              </w:rPr>
              <w:t>Accelerated filer ☒</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3031" w:type="dxa"/>
            <w:tcBorders/>
            <w:tcMar>
              <w:top w:w="0" w:type="dxa"/>
              <w:left w:w="0" w:type="dxa"/>
              <w:bottom w:w="0" w:type="dxa"/>
              <w:right w:w="0" w:type="dxa"/>
            </w:tcMar>
            <w:vAlign w:val="center"/>
          </w:tcPr>
          <w:p>
            <w:pPr>
              <w:pStyle w:val="TableContents"/>
              <w:bidi w:val="0"/>
              <w:spacing w:before="0" w:after="0"/>
              <w:jc w:val="left"/>
              <w:rPr/>
            </w:pPr>
            <w:r>
              <w:rPr>
                <w:color w:val="000000"/>
              </w:rPr>
              <w:t>Non-accelerated filer ☐</w:t>
            </w:r>
            <w:r>
              <w:rPr/>
              <w:t xml:space="preserve"> </w:t>
            </w:r>
          </w:p>
        </w:tc>
        <w:tc>
          <w:tcPr>
            <w:tcW w:w="3046" w:type="dxa"/>
            <w:tcBorders/>
            <w:tcMar>
              <w:top w:w="0" w:type="dxa"/>
              <w:left w:w="0" w:type="dxa"/>
              <w:bottom w:w="0" w:type="dxa"/>
              <w:right w:w="0" w:type="dxa"/>
            </w:tcMar>
            <w:vAlign w:val="center"/>
          </w:tcPr>
          <w:p>
            <w:pPr>
              <w:pStyle w:val="TableContents"/>
              <w:bidi w:val="0"/>
              <w:spacing w:before="0" w:after="0"/>
              <w:jc w:val="left"/>
              <w:rPr/>
            </w:pPr>
            <w:r>
              <w:rPr>
                <w:color w:val="000000"/>
              </w:rPr>
              <w:t>Smaller reporting company ☐</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3031" w:type="dxa"/>
            <w:tcBorders/>
            <w:tcMar>
              <w:top w:w="0" w:type="dxa"/>
              <w:left w:w="0" w:type="dxa"/>
              <w:bottom w:w="0" w:type="dxa"/>
              <w:right w:w="0" w:type="dxa"/>
            </w:tcMar>
            <w:vAlign w:val="center"/>
          </w:tcPr>
          <w:p>
            <w:pPr>
              <w:pStyle w:val="TableContents"/>
              <w:bidi w:val="0"/>
              <w:spacing w:before="0" w:after="0"/>
              <w:jc w:val="left"/>
              <w:rPr/>
            </w:pPr>
            <w:r>
              <w:rPr>
                <w:color w:val="000000"/>
              </w:rPr>
              <w:t>Emerging growth company ☐</w:t>
            </w:r>
            <w:r>
              <w:rPr/>
              <w:t xml:space="preserve"> </w:t>
            </w:r>
          </w:p>
        </w:tc>
        <w:tc>
          <w:tcPr>
            <w:tcW w:w="304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Indicate by check mark whether the registrant is a shell company (as defined in Rule 12b-2 of the Exchange Act). Yes ☐ No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As of August 10, 2026, there were 31,721,479 shares outstanding of the registrant’s Common Stock.</w:t>
      </w:r>
      <w:r>
        <w:rPr>
          <w:rFonts w:ascii="Times New Roman" w:hAnsi="Times New Roman"/>
          <w:sz w:val="20"/>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color w:val="000000"/>
          <w:sz w:val="20"/>
        </w:rPr>
        <w:t>LINCOLN EDUCATIONAL SERVICES CORPORATION AND SUBSIDIARIES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bookmarkStart w:id="4" w:name="INDEX"/>
      <w:bookmarkEnd w:id="4"/>
      <w:r>
        <w:rPr>
          <w:rFonts w:ascii="Times New Roman" w:hAnsi="Times New Roman"/>
          <w:color w:val="000000"/>
          <w:sz w:val="20"/>
        </w:rPr>
        <w:t>INDEX TO FORM 10-Q</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FOR THE QUARTERLY PERIOD ENDED JUNE 30, 2026</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018"/>
        <w:gridCol w:w="8758"/>
        <w:gridCol w:w="429"/>
      </w:tblGrid>
      <w:tr>
        <w:trPr/>
        <w:tc>
          <w:tcPr>
            <w:tcW w:w="1018" w:type="dxa"/>
            <w:tcBorders/>
            <w:vAlign w:val="center"/>
          </w:tcPr>
          <w:p>
            <w:pPr>
              <w:pStyle w:val="TableContents"/>
              <w:bidi w:val="0"/>
              <w:spacing w:before="0" w:after="283"/>
              <w:jc w:val="left"/>
              <w:rPr/>
            </w:pPr>
            <w:r>
              <w:rPr/>
              <w:t> </w:t>
            </w:r>
          </w:p>
        </w:tc>
        <w:tc>
          <w:tcPr>
            <w:tcW w:w="8758"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r>
      <w:tr>
        <w:trPr/>
        <w:tc>
          <w:tcPr>
            <w:tcW w:w="1018" w:type="dxa"/>
            <w:tcBorders/>
            <w:shd w:fill="CCEEFF" w:val="clear"/>
            <w:tcMar>
              <w:top w:w="0" w:type="dxa"/>
              <w:left w:w="0" w:type="dxa"/>
              <w:bottom w:w="0" w:type="dxa"/>
              <w:right w:w="0" w:type="dxa"/>
            </w:tcMar>
            <w:vAlign w:val="center"/>
          </w:tcPr>
          <w:p>
            <w:pPr>
              <w:pStyle w:val="TableContents"/>
              <w:bidi w:val="0"/>
              <w:spacing w:before="0" w:after="0"/>
              <w:jc w:val="left"/>
              <w:rPr/>
            </w:pPr>
            <w:r>
              <w:rPr>
                <w:b/>
                <w:color w:val="000000"/>
                <w:u w:val="single"/>
              </w:rPr>
              <w:t>PART I.</w:t>
            </w:r>
            <w:r>
              <w:rPr/>
              <w:t xml:space="preserve"> </w:t>
            </w:r>
          </w:p>
        </w:tc>
        <w:tc>
          <w:tcPr>
            <w:tcW w:w="8758"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
              <w:r>
                <w:rPr>
                  <w:rStyle w:val="InternetLink"/>
                  <w:b/>
                  <w:color w:val="000000"/>
                  <w:u w:val="single"/>
                </w:rPr>
                <w:t>FINANCIAL INFORMATION</w:t>
              </w:r>
            </w:hyperlink>
            <w:r>
              <w:rPr>
                <w:color w:val="000000"/>
              </w:rPr>
              <w:t xml:space="preserve"> </w:t>
            </w:r>
          </w:p>
        </w:tc>
        <w:tc>
          <w:tcPr>
            <w:tcW w:w="429" w:type="dxa"/>
            <w:tcBorders/>
            <w:shd w:fill="CCEEFF" w:val="clear"/>
            <w:tcMar>
              <w:top w:w="0" w:type="dxa"/>
              <w:left w:w="0" w:type="dxa"/>
              <w:bottom w:w="0" w:type="dxa"/>
              <w:right w:w="0" w:type="dxa"/>
            </w:tcMar>
            <w:vAlign w:val="center"/>
          </w:tcPr>
          <w:p>
            <w:pPr>
              <w:pStyle w:val="TableContents"/>
              <w:bidi w:val="0"/>
              <w:spacing w:before="0" w:after="0"/>
              <w:jc w:val="center"/>
              <w:rPr/>
            </w:pPr>
            <w:r>
              <w:rPr>
                <w:color w:val="000000"/>
              </w:rPr>
              <w:t>3</w:t>
            </w:r>
            <w:r>
              <w:rPr/>
              <w:t xml:space="preserve"> </w:t>
            </w:r>
          </w:p>
        </w:tc>
      </w:tr>
      <w:tr>
        <w:trPr/>
        <w:tc>
          <w:tcPr>
            <w:tcW w:w="1018" w:type="dxa"/>
            <w:tcBorders/>
            <w:tcMar>
              <w:top w:w="0" w:type="dxa"/>
              <w:left w:w="0" w:type="dxa"/>
              <w:bottom w:w="0" w:type="dxa"/>
              <w:right w:w="0" w:type="dxa"/>
            </w:tcMar>
            <w:vAlign w:val="center"/>
          </w:tcPr>
          <w:p>
            <w:pPr>
              <w:pStyle w:val="TableContents"/>
              <w:bidi w:val="0"/>
              <w:spacing w:before="0" w:after="0"/>
              <w:jc w:val="left"/>
              <w:rPr/>
            </w:pPr>
            <w:r>
              <w:rPr>
                <w:color w:val="000000"/>
                <w:u w:val="single"/>
              </w:rPr>
              <w:t>Item 1.</w:t>
            </w:r>
            <w:r>
              <w:rPr/>
              <w:t xml:space="preserve"> </w:t>
            </w:r>
          </w:p>
        </w:tc>
        <w:tc>
          <w:tcPr>
            <w:tcW w:w="8758" w:type="dxa"/>
            <w:tcBorders/>
            <w:tcMar>
              <w:top w:w="0" w:type="dxa"/>
              <w:left w:w="0" w:type="dxa"/>
              <w:bottom w:w="0" w:type="dxa"/>
              <w:right w:w="0" w:type="dxa"/>
            </w:tcMar>
            <w:vAlign w:val="center"/>
          </w:tcPr>
          <w:p>
            <w:pPr>
              <w:pStyle w:val="TableContents"/>
              <w:bidi w:val="0"/>
              <w:spacing w:before="0" w:after="0"/>
              <w:jc w:val="left"/>
              <w:rPr/>
            </w:pPr>
            <w:hyperlink w:anchor="FINANCIAL_STATEMENTS">
              <w:r>
                <w:rPr>
                  <w:rStyle w:val="InternetLink"/>
                  <w:color w:val="000000"/>
                  <w:u w:val="single"/>
                </w:rPr>
                <w:t>Financial Statements</w:t>
              </w:r>
            </w:hyperlink>
            <w:r>
              <w:rPr>
                <w:color w:val="000000"/>
              </w:rPr>
              <w:t xml:space="preserve"> </w:t>
            </w:r>
          </w:p>
        </w:tc>
        <w:tc>
          <w:tcPr>
            <w:tcW w:w="429" w:type="dxa"/>
            <w:tcBorders/>
            <w:tcMar>
              <w:top w:w="0" w:type="dxa"/>
              <w:left w:w="0" w:type="dxa"/>
              <w:bottom w:w="0" w:type="dxa"/>
              <w:right w:w="0" w:type="dxa"/>
            </w:tcMar>
            <w:vAlign w:val="center"/>
          </w:tcPr>
          <w:p>
            <w:pPr>
              <w:pStyle w:val="TableContents"/>
              <w:bidi w:val="0"/>
              <w:spacing w:before="0" w:after="0"/>
              <w:jc w:val="center"/>
              <w:rPr/>
            </w:pPr>
            <w:r>
              <w:rPr>
                <w:color w:val="000000"/>
              </w:rPr>
              <w:t>3</w:t>
            </w:r>
            <w:r>
              <w:rPr/>
              <w:t xml:space="preserve"> </w:t>
            </w:r>
          </w:p>
        </w:tc>
      </w:tr>
      <w:tr>
        <w:trPr/>
        <w:tc>
          <w:tcPr>
            <w:tcW w:w="1018"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  </w:t>
            </w:r>
          </w:p>
        </w:tc>
        <w:tc>
          <w:tcPr>
            <w:tcW w:w="8758" w:type="dxa"/>
            <w:tcBorders/>
            <w:shd w:fill="CCEEFF" w:val="clear"/>
            <w:tcMar>
              <w:top w:w="0" w:type="dxa"/>
              <w:left w:w="0" w:type="dxa"/>
              <w:bottom w:w="0" w:type="dxa"/>
              <w:right w:w="0" w:type="dxa"/>
            </w:tcMar>
            <w:vAlign w:val="center"/>
          </w:tcPr>
          <w:p>
            <w:pPr>
              <w:pStyle w:val="TableContents"/>
              <w:bidi w:val="0"/>
              <w:spacing w:before="0" w:after="0"/>
              <w:jc w:val="left"/>
              <w:rPr/>
            </w:pPr>
            <w:hyperlink w:anchor="BALANCE_SHEETS">
              <w:r>
                <w:rPr>
                  <w:rStyle w:val="InternetLink"/>
                  <w:color w:val="000000"/>
                  <w:u w:val="single"/>
                </w:rPr>
                <w:t>Condensed Consolidated Balance Sheets at June 30, 2026 and December 31, 2025 (Unaudited)</w:t>
              </w:r>
            </w:hyperlink>
            <w:r>
              <w:rPr>
                <w:color w:val="000000"/>
              </w:rPr>
              <w:t xml:space="preserve"> </w:t>
            </w:r>
          </w:p>
        </w:tc>
        <w:tc>
          <w:tcPr>
            <w:tcW w:w="429" w:type="dxa"/>
            <w:tcBorders/>
            <w:shd w:fill="CCEEFF" w:val="clear"/>
            <w:tcMar>
              <w:top w:w="0" w:type="dxa"/>
              <w:left w:w="0" w:type="dxa"/>
              <w:bottom w:w="0" w:type="dxa"/>
              <w:right w:w="0" w:type="dxa"/>
            </w:tcMar>
            <w:vAlign w:val="center"/>
          </w:tcPr>
          <w:p>
            <w:pPr>
              <w:pStyle w:val="TableContents"/>
              <w:bidi w:val="0"/>
              <w:spacing w:before="0" w:after="0"/>
              <w:jc w:val="center"/>
              <w:rPr/>
            </w:pPr>
            <w:r>
              <w:rPr>
                <w:color w:val="000000"/>
              </w:rPr>
              <w:t>3</w:t>
            </w:r>
            <w:r>
              <w:rPr/>
              <w:t xml:space="preserve"> </w:t>
            </w:r>
          </w:p>
        </w:tc>
      </w:tr>
      <w:tr>
        <w:trPr/>
        <w:tc>
          <w:tcPr>
            <w:tcW w:w="1018"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758" w:type="dxa"/>
            <w:tcBorders/>
            <w:tcMar>
              <w:top w:w="0" w:type="dxa"/>
              <w:left w:w="0" w:type="dxa"/>
              <w:bottom w:w="0" w:type="dxa"/>
              <w:right w:w="0" w:type="dxa"/>
            </w:tcMar>
            <w:vAlign w:val="center"/>
          </w:tcPr>
          <w:p>
            <w:pPr>
              <w:pStyle w:val="TableContents"/>
              <w:bidi w:val="0"/>
              <w:spacing w:before="0" w:after="0"/>
              <w:jc w:val="left"/>
              <w:rPr/>
            </w:pPr>
            <w:hyperlink w:anchor="STATEMENTS_OF_OPERATIONS">
              <w:r>
                <w:rPr>
                  <w:rStyle w:val="InternetLink"/>
                  <w:color w:val="000000"/>
                  <w:u w:val="single"/>
                </w:rPr>
                <w:t>Condensed Consolidated Statements of Operations for the three and six months ended June 30, 2026 and 2025 (Unaudited)</w:t>
              </w:r>
            </w:hyperlink>
            <w:r>
              <w:rPr>
                <w:color w:val="000000"/>
              </w:rPr>
              <w:t xml:space="preserve"> </w:t>
            </w:r>
          </w:p>
        </w:tc>
        <w:tc>
          <w:tcPr>
            <w:tcW w:w="429" w:type="dxa"/>
            <w:tcBorders/>
            <w:tcMar>
              <w:top w:w="0" w:type="dxa"/>
              <w:left w:w="0" w:type="dxa"/>
              <w:bottom w:w="0" w:type="dxa"/>
              <w:right w:w="0" w:type="dxa"/>
            </w:tcMar>
            <w:vAlign w:val="center"/>
          </w:tcPr>
          <w:p>
            <w:pPr>
              <w:pStyle w:val="TableContents"/>
              <w:bidi w:val="0"/>
              <w:spacing w:before="0" w:after="0"/>
              <w:jc w:val="center"/>
              <w:rPr/>
            </w:pPr>
            <w:r>
              <w:rPr>
                <w:color w:val="000000"/>
              </w:rPr>
              <w:t>4</w:t>
            </w:r>
            <w:r>
              <w:rPr/>
              <w:t xml:space="preserve"> </w:t>
            </w:r>
          </w:p>
        </w:tc>
      </w:tr>
      <w:tr>
        <w:trPr/>
        <w:tc>
          <w:tcPr>
            <w:tcW w:w="1018"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  </w:t>
            </w:r>
          </w:p>
        </w:tc>
        <w:tc>
          <w:tcPr>
            <w:tcW w:w="8758" w:type="dxa"/>
            <w:tcBorders/>
            <w:shd w:fill="CCEEFF" w:val="clear"/>
            <w:tcMar>
              <w:top w:w="0" w:type="dxa"/>
              <w:left w:w="0" w:type="dxa"/>
              <w:bottom w:w="0" w:type="dxa"/>
              <w:right w:w="0" w:type="dxa"/>
            </w:tcMar>
            <w:vAlign w:val="center"/>
          </w:tcPr>
          <w:p>
            <w:pPr>
              <w:pStyle w:val="TableContents"/>
              <w:bidi w:val="0"/>
              <w:spacing w:before="0" w:after="0"/>
              <w:jc w:val="left"/>
              <w:rPr/>
            </w:pPr>
            <w:hyperlink w:anchor="CHANGES_IN_STOCKHOLDERS_EQUITY">
              <w:r>
                <w:rPr>
                  <w:rStyle w:val="InternetLink"/>
                  <w:color w:val="000000"/>
                  <w:u w:val="single"/>
                </w:rPr>
                <w:t>Condensed Consolidated Statements of Changes in Stockholders’ Equity for the six months ended June 30, 2026 and 2025 (Unaudited)</w:t>
              </w:r>
            </w:hyperlink>
            <w:r>
              <w:rPr>
                <w:color w:val="000000"/>
              </w:rPr>
              <w:t xml:space="preserve"> </w:t>
            </w:r>
          </w:p>
        </w:tc>
        <w:tc>
          <w:tcPr>
            <w:tcW w:w="429" w:type="dxa"/>
            <w:tcBorders/>
            <w:shd w:fill="CCEEFF" w:val="clear"/>
            <w:tcMar>
              <w:top w:w="0" w:type="dxa"/>
              <w:left w:w="0" w:type="dxa"/>
              <w:bottom w:w="0" w:type="dxa"/>
              <w:right w:w="0" w:type="dxa"/>
            </w:tcMar>
            <w:vAlign w:val="center"/>
          </w:tcPr>
          <w:p>
            <w:pPr>
              <w:pStyle w:val="TableContents"/>
              <w:bidi w:val="0"/>
              <w:spacing w:before="0" w:after="0"/>
              <w:jc w:val="center"/>
              <w:rPr/>
            </w:pPr>
            <w:r>
              <w:rPr>
                <w:color w:val="000000"/>
              </w:rPr>
              <w:t>5</w:t>
            </w:r>
            <w:r>
              <w:rPr/>
              <w:t xml:space="preserve"> </w:t>
            </w:r>
          </w:p>
        </w:tc>
      </w:tr>
      <w:tr>
        <w:trPr/>
        <w:tc>
          <w:tcPr>
            <w:tcW w:w="1018"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758" w:type="dxa"/>
            <w:tcBorders/>
            <w:tcMar>
              <w:top w:w="0" w:type="dxa"/>
              <w:left w:w="0" w:type="dxa"/>
              <w:bottom w:w="0" w:type="dxa"/>
              <w:right w:w="0" w:type="dxa"/>
            </w:tcMar>
            <w:vAlign w:val="center"/>
          </w:tcPr>
          <w:p>
            <w:pPr>
              <w:pStyle w:val="TableContents"/>
              <w:bidi w:val="0"/>
              <w:spacing w:before="0" w:after="0"/>
              <w:jc w:val="left"/>
              <w:rPr/>
            </w:pPr>
            <w:hyperlink w:anchor="CASH_FLOWS">
              <w:r>
                <w:rPr>
                  <w:rStyle w:val="InternetLink"/>
                  <w:color w:val="000000"/>
                  <w:u w:val="single"/>
                </w:rPr>
                <w:t>Condensed Consolidated Statements of Cash Flows for the six months ended June 30, 2026 and 2025 (Unaudited)</w:t>
              </w:r>
            </w:hyperlink>
            <w:r>
              <w:rPr>
                <w:color w:val="000000"/>
              </w:rPr>
              <w:t xml:space="preserve"> </w:t>
            </w:r>
          </w:p>
        </w:tc>
        <w:tc>
          <w:tcPr>
            <w:tcW w:w="429" w:type="dxa"/>
            <w:tcBorders/>
            <w:tcMar>
              <w:top w:w="0" w:type="dxa"/>
              <w:left w:w="0" w:type="dxa"/>
              <w:bottom w:w="0" w:type="dxa"/>
              <w:right w:w="0" w:type="dxa"/>
            </w:tcMar>
            <w:vAlign w:val="center"/>
          </w:tcPr>
          <w:p>
            <w:pPr>
              <w:pStyle w:val="TableContents"/>
              <w:bidi w:val="0"/>
              <w:spacing w:before="0" w:after="0"/>
              <w:jc w:val="center"/>
              <w:rPr/>
            </w:pPr>
            <w:r>
              <w:rPr>
                <w:color w:val="000000"/>
              </w:rPr>
              <w:t>6</w:t>
            </w:r>
            <w:r>
              <w:rPr/>
              <w:t xml:space="preserve"> </w:t>
            </w:r>
          </w:p>
        </w:tc>
      </w:tr>
      <w:tr>
        <w:trPr/>
        <w:tc>
          <w:tcPr>
            <w:tcW w:w="1018"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  </w:t>
            </w:r>
          </w:p>
        </w:tc>
        <w:tc>
          <w:tcPr>
            <w:tcW w:w="8758" w:type="dxa"/>
            <w:tcBorders/>
            <w:shd w:fill="CCEEFF" w:val="clear"/>
            <w:tcMar>
              <w:top w:w="0" w:type="dxa"/>
              <w:left w:w="0" w:type="dxa"/>
              <w:bottom w:w="0" w:type="dxa"/>
              <w:right w:w="0" w:type="dxa"/>
            </w:tcMar>
            <w:vAlign w:val="center"/>
          </w:tcPr>
          <w:p>
            <w:pPr>
              <w:pStyle w:val="TableContents"/>
              <w:bidi w:val="0"/>
              <w:spacing w:before="0" w:after="0"/>
              <w:jc w:val="left"/>
              <w:rPr/>
            </w:pPr>
            <w:hyperlink w:anchor="NOTES_TO_CONDENSED">
              <w:r>
                <w:rPr>
                  <w:rStyle w:val="InternetLink"/>
                  <w:color w:val="000000"/>
                  <w:u w:val="single"/>
                </w:rPr>
                <w:t>Notes to Condensed Consolidated Financial Statements (Unaudited)</w:t>
              </w:r>
            </w:hyperlink>
            <w:r>
              <w:rPr>
                <w:color w:val="000000"/>
              </w:rPr>
              <w:t xml:space="preserve"> </w:t>
            </w:r>
          </w:p>
        </w:tc>
        <w:tc>
          <w:tcPr>
            <w:tcW w:w="429" w:type="dxa"/>
            <w:tcBorders/>
            <w:shd w:fill="CCEEFF" w:val="clear"/>
            <w:tcMar>
              <w:top w:w="0" w:type="dxa"/>
              <w:left w:w="0" w:type="dxa"/>
              <w:bottom w:w="0" w:type="dxa"/>
              <w:right w:w="0" w:type="dxa"/>
            </w:tcMar>
            <w:vAlign w:val="center"/>
          </w:tcPr>
          <w:p>
            <w:pPr>
              <w:pStyle w:val="TableContents"/>
              <w:bidi w:val="0"/>
              <w:spacing w:before="0" w:after="0"/>
              <w:jc w:val="center"/>
              <w:rPr/>
            </w:pPr>
            <w:r>
              <w:rPr>
                <w:color w:val="000000"/>
              </w:rPr>
              <w:t>8</w:t>
            </w:r>
            <w:r>
              <w:rPr/>
              <w:t xml:space="preserve"> </w:t>
            </w:r>
          </w:p>
        </w:tc>
      </w:tr>
      <w:tr>
        <w:trPr/>
        <w:tc>
          <w:tcPr>
            <w:tcW w:w="1018" w:type="dxa"/>
            <w:tcBorders/>
            <w:tcMar>
              <w:top w:w="0" w:type="dxa"/>
              <w:left w:w="0" w:type="dxa"/>
              <w:bottom w:w="0" w:type="dxa"/>
              <w:right w:w="0" w:type="dxa"/>
            </w:tcMar>
            <w:vAlign w:val="center"/>
          </w:tcPr>
          <w:p>
            <w:pPr>
              <w:pStyle w:val="TableContents"/>
              <w:bidi w:val="0"/>
              <w:spacing w:before="0" w:after="0"/>
              <w:jc w:val="left"/>
              <w:rPr/>
            </w:pPr>
            <w:r>
              <w:rPr>
                <w:color w:val="000000"/>
                <w:u w:val="single"/>
              </w:rPr>
              <w:t>Item 2.</w:t>
            </w:r>
            <w:r>
              <w:rPr/>
              <w:t xml:space="preserve"> </w:t>
            </w:r>
          </w:p>
        </w:tc>
        <w:tc>
          <w:tcPr>
            <w:tcW w:w="8758" w:type="dxa"/>
            <w:tcBorders/>
            <w:tcMar>
              <w:top w:w="0" w:type="dxa"/>
              <w:left w:w="0" w:type="dxa"/>
              <w:bottom w:w="0" w:type="dxa"/>
              <w:right w:w="0" w:type="dxa"/>
            </w:tcMar>
            <w:vAlign w:val="center"/>
          </w:tcPr>
          <w:p>
            <w:pPr>
              <w:pStyle w:val="TableContents"/>
              <w:bidi w:val="0"/>
              <w:spacing w:before="0" w:after="0"/>
              <w:jc w:val="left"/>
              <w:rPr/>
            </w:pPr>
            <w:hyperlink w:anchor="MANAGEMENTS_DISCUSSION">
              <w:r>
                <w:rPr>
                  <w:rStyle w:val="InternetLink"/>
                  <w:color w:val="000000"/>
                  <w:u w:val="single"/>
                </w:rPr>
                <w:t>Management’s Discussion and Analysis of Financial Condition and Results of Operations</w:t>
              </w:r>
            </w:hyperlink>
            <w:r>
              <w:rPr>
                <w:color w:val="000000"/>
              </w:rPr>
              <w:t xml:space="preserve"> </w:t>
            </w:r>
          </w:p>
        </w:tc>
        <w:tc>
          <w:tcPr>
            <w:tcW w:w="429" w:type="dxa"/>
            <w:tcBorders/>
            <w:tcMar>
              <w:top w:w="0" w:type="dxa"/>
              <w:left w:w="0" w:type="dxa"/>
              <w:bottom w:w="0" w:type="dxa"/>
              <w:right w:w="0" w:type="dxa"/>
            </w:tcMar>
            <w:vAlign w:val="center"/>
          </w:tcPr>
          <w:p>
            <w:pPr>
              <w:pStyle w:val="TableContents"/>
              <w:bidi w:val="0"/>
              <w:spacing w:before="0" w:after="0"/>
              <w:jc w:val="center"/>
              <w:rPr/>
            </w:pPr>
            <w:r>
              <w:rPr>
                <w:color w:val="000000"/>
              </w:rPr>
              <w:t>21</w:t>
            </w:r>
            <w:r>
              <w:rPr/>
              <w:t xml:space="preserve"> </w:t>
            </w:r>
          </w:p>
        </w:tc>
      </w:tr>
      <w:tr>
        <w:trPr/>
        <w:tc>
          <w:tcPr>
            <w:tcW w:w="1018"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u w:val="single"/>
              </w:rPr>
              <w:t>Item 3.</w:t>
            </w:r>
            <w:r>
              <w:rPr/>
              <w:t xml:space="preserve"> </w:t>
            </w:r>
          </w:p>
        </w:tc>
        <w:tc>
          <w:tcPr>
            <w:tcW w:w="8758" w:type="dxa"/>
            <w:tcBorders/>
            <w:shd w:fill="CCEEFF" w:val="clear"/>
            <w:tcMar>
              <w:top w:w="0" w:type="dxa"/>
              <w:left w:w="0" w:type="dxa"/>
              <w:bottom w:w="0" w:type="dxa"/>
              <w:right w:w="0" w:type="dxa"/>
            </w:tcMar>
            <w:vAlign w:val="center"/>
          </w:tcPr>
          <w:p>
            <w:pPr>
              <w:pStyle w:val="TableContents"/>
              <w:bidi w:val="0"/>
              <w:spacing w:before="0" w:after="0"/>
              <w:jc w:val="left"/>
              <w:rPr/>
            </w:pPr>
            <w:hyperlink w:anchor="QUANTITATIVE">
              <w:r>
                <w:rPr>
                  <w:rStyle w:val="InternetLink"/>
                  <w:color w:val="000000"/>
                  <w:u w:val="single"/>
                </w:rPr>
                <w:t>Quantitative and Qualitative Disclosures About Market Risk</w:t>
              </w:r>
            </w:hyperlink>
            <w:r>
              <w:rPr>
                <w:color w:val="000000"/>
              </w:rPr>
              <w:t xml:space="preserve"> </w:t>
            </w:r>
          </w:p>
        </w:tc>
        <w:tc>
          <w:tcPr>
            <w:tcW w:w="429" w:type="dxa"/>
            <w:tcBorders/>
            <w:shd w:fill="CCEEFF" w:val="clear"/>
            <w:tcMar>
              <w:top w:w="0" w:type="dxa"/>
              <w:left w:w="0" w:type="dxa"/>
              <w:bottom w:w="0" w:type="dxa"/>
              <w:right w:w="0" w:type="dxa"/>
            </w:tcMar>
            <w:vAlign w:val="center"/>
          </w:tcPr>
          <w:p>
            <w:pPr>
              <w:pStyle w:val="TableContents"/>
              <w:bidi w:val="0"/>
              <w:spacing w:before="0" w:after="0"/>
              <w:jc w:val="center"/>
              <w:rPr/>
            </w:pPr>
            <w:r>
              <w:rPr>
                <w:color w:val="000000"/>
              </w:rPr>
              <w:t>28</w:t>
            </w:r>
            <w:r>
              <w:rPr/>
              <w:t xml:space="preserve"> </w:t>
            </w:r>
          </w:p>
        </w:tc>
      </w:tr>
      <w:tr>
        <w:trPr/>
        <w:tc>
          <w:tcPr>
            <w:tcW w:w="1018" w:type="dxa"/>
            <w:tcBorders/>
            <w:tcMar>
              <w:top w:w="0" w:type="dxa"/>
              <w:left w:w="0" w:type="dxa"/>
              <w:bottom w:w="0" w:type="dxa"/>
              <w:right w:w="0" w:type="dxa"/>
            </w:tcMar>
            <w:vAlign w:val="center"/>
          </w:tcPr>
          <w:p>
            <w:pPr>
              <w:pStyle w:val="TableContents"/>
              <w:bidi w:val="0"/>
              <w:spacing w:before="0" w:after="0"/>
              <w:jc w:val="left"/>
              <w:rPr/>
            </w:pPr>
            <w:r>
              <w:rPr>
                <w:color w:val="000000"/>
                <w:u w:val="single"/>
              </w:rPr>
              <w:t>Item 4.</w:t>
            </w:r>
            <w:r>
              <w:rPr/>
              <w:t xml:space="preserve"> </w:t>
            </w:r>
          </w:p>
        </w:tc>
        <w:tc>
          <w:tcPr>
            <w:tcW w:w="8758" w:type="dxa"/>
            <w:tcBorders/>
            <w:tcMar>
              <w:top w:w="0" w:type="dxa"/>
              <w:left w:w="0" w:type="dxa"/>
              <w:bottom w:w="0" w:type="dxa"/>
              <w:right w:w="0" w:type="dxa"/>
            </w:tcMar>
            <w:vAlign w:val="center"/>
          </w:tcPr>
          <w:p>
            <w:pPr>
              <w:pStyle w:val="TableContents"/>
              <w:bidi w:val="0"/>
              <w:spacing w:before="0" w:after="0"/>
              <w:jc w:val="left"/>
              <w:rPr/>
            </w:pPr>
            <w:hyperlink w:anchor="CONTROLS">
              <w:r>
                <w:rPr>
                  <w:rStyle w:val="InternetLink"/>
                  <w:color w:val="000000"/>
                  <w:u w:val="single"/>
                </w:rPr>
                <w:t>Controls and Procedures</w:t>
              </w:r>
            </w:hyperlink>
            <w:r>
              <w:rPr>
                <w:color w:val="000000"/>
              </w:rPr>
              <w:t xml:space="preserve"> </w:t>
            </w:r>
          </w:p>
        </w:tc>
        <w:tc>
          <w:tcPr>
            <w:tcW w:w="429" w:type="dxa"/>
            <w:tcBorders/>
            <w:tcMar>
              <w:top w:w="0" w:type="dxa"/>
              <w:left w:w="0" w:type="dxa"/>
              <w:bottom w:w="0" w:type="dxa"/>
              <w:right w:w="0" w:type="dxa"/>
            </w:tcMar>
            <w:vAlign w:val="center"/>
          </w:tcPr>
          <w:p>
            <w:pPr>
              <w:pStyle w:val="TableContents"/>
              <w:bidi w:val="0"/>
              <w:spacing w:before="0" w:after="0"/>
              <w:jc w:val="center"/>
              <w:rPr/>
            </w:pPr>
            <w:r>
              <w:rPr>
                <w:color w:val="000000"/>
              </w:rPr>
              <w:t>28</w:t>
            </w:r>
            <w:r>
              <w:rPr/>
              <w:t xml:space="preserve"> </w:t>
            </w:r>
          </w:p>
        </w:tc>
      </w:tr>
      <w:tr>
        <w:trPr/>
        <w:tc>
          <w:tcPr>
            <w:tcW w:w="1018" w:type="dxa"/>
            <w:tcBorders/>
            <w:shd w:fill="CCEEFF" w:val="clear"/>
            <w:tcMar>
              <w:top w:w="0" w:type="dxa"/>
              <w:left w:w="0" w:type="dxa"/>
              <w:bottom w:w="0" w:type="dxa"/>
              <w:right w:w="0" w:type="dxa"/>
            </w:tcMar>
            <w:vAlign w:val="center"/>
          </w:tcPr>
          <w:p>
            <w:pPr>
              <w:pStyle w:val="TableContents"/>
              <w:bidi w:val="0"/>
              <w:spacing w:before="0" w:after="0"/>
              <w:jc w:val="left"/>
              <w:rPr/>
            </w:pPr>
            <w:r>
              <w:rPr>
                <w:b/>
                <w:color w:val="000000"/>
                <w:u w:val="single"/>
              </w:rPr>
              <w:t>PART II.</w:t>
            </w:r>
            <w:r>
              <w:rPr/>
              <w:t xml:space="preserve"> </w:t>
            </w:r>
          </w:p>
        </w:tc>
        <w:tc>
          <w:tcPr>
            <w:tcW w:w="8758" w:type="dxa"/>
            <w:tcBorders/>
            <w:shd w:fill="CCEEFF" w:val="clear"/>
            <w:tcMar>
              <w:top w:w="0" w:type="dxa"/>
              <w:left w:w="0" w:type="dxa"/>
              <w:bottom w:w="0" w:type="dxa"/>
              <w:right w:w="0" w:type="dxa"/>
            </w:tcMar>
            <w:vAlign w:val="center"/>
          </w:tcPr>
          <w:p>
            <w:pPr>
              <w:pStyle w:val="TableContents"/>
              <w:bidi w:val="0"/>
              <w:spacing w:before="0" w:after="0"/>
              <w:jc w:val="left"/>
              <w:rPr/>
            </w:pPr>
            <w:hyperlink w:anchor="OTHER_INFORMATION">
              <w:r>
                <w:rPr>
                  <w:rStyle w:val="InternetLink"/>
                  <w:b/>
                  <w:color w:val="000000"/>
                  <w:u w:val="single"/>
                </w:rPr>
                <w:t>OTHER INFORMATION</w:t>
              </w:r>
            </w:hyperlink>
            <w:r>
              <w:rPr>
                <w:color w:val="000000"/>
              </w:rPr>
              <w:t xml:space="preserve"> </w:t>
            </w:r>
          </w:p>
        </w:tc>
        <w:tc>
          <w:tcPr>
            <w:tcW w:w="429" w:type="dxa"/>
            <w:tcBorders/>
            <w:shd w:fill="CCEEFF" w:val="clear"/>
            <w:tcMar>
              <w:top w:w="0" w:type="dxa"/>
              <w:left w:w="0" w:type="dxa"/>
              <w:bottom w:w="0" w:type="dxa"/>
              <w:right w:w="0" w:type="dxa"/>
            </w:tcMar>
            <w:vAlign w:val="center"/>
          </w:tcPr>
          <w:p>
            <w:pPr>
              <w:pStyle w:val="TableContents"/>
              <w:bidi w:val="0"/>
              <w:spacing w:before="0" w:after="0"/>
              <w:jc w:val="center"/>
              <w:rPr/>
            </w:pPr>
            <w:r>
              <w:rPr>
                <w:color w:val="000000"/>
              </w:rPr>
              <w:t>28</w:t>
            </w:r>
            <w:r>
              <w:rPr/>
              <w:t xml:space="preserve"> </w:t>
            </w:r>
          </w:p>
        </w:tc>
      </w:tr>
      <w:tr>
        <w:trPr/>
        <w:tc>
          <w:tcPr>
            <w:tcW w:w="1018" w:type="dxa"/>
            <w:tcBorders/>
            <w:tcMar>
              <w:top w:w="0" w:type="dxa"/>
              <w:left w:w="0" w:type="dxa"/>
              <w:bottom w:w="0" w:type="dxa"/>
              <w:right w:w="0" w:type="dxa"/>
            </w:tcMar>
            <w:vAlign w:val="center"/>
          </w:tcPr>
          <w:p>
            <w:pPr>
              <w:pStyle w:val="TableContents"/>
              <w:bidi w:val="0"/>
              <w:spacing w:before="0" w:after="0"/>
              <w:jc w:val="left"/>
              <w:rPr/>
            </w:pPr>
            <w:r>
              <w:rPr>
                <w:color w:val="000000"/>
                <w:u w:val="single"/>
              </w:rPr>
              <w:t>Item 1.</w:t>
            </w:r>
            <w:r>
              <w:rPr/>
              <w:t xml:space="preserve"> </w:t>
            </w:r>
          </w:p>
        </w:tc>
        <w:tc>
          <w:tcPr>
            <w:tcW w:w="8758" w:type="dxa"/>
            <w:tcBorders/>
            <w:tcMar>
              <w:top w:w="0" w:type="dxa"/>
              <w:left w:w="0" w:type="dxa"/>
              <w:bottom w:w="0" w:type="dxa"/>
              <w:right w:w="0" w:type="dxa"/>
            </w:tcMar>
            <w:vAlign w:val="center"/>
          </w:tcPr>
          <w:p>
            <w:pPr>
              <w:pStyle w:val="TableContents"/>
              <w:bidi w:val="0"/>
              <w:spacing w:before="0" w:after="0"/>
              <w:jc w:val="left"/>
              <w:rPr/>
            </w:pPr>
            <w:hyperlink w:anchor="LEGAL_PROCEEDINGS">
              <w:r>
                <w:rPr>
                  <w:rStyle w:val="InternetLink"/>
                  <w:color w:val="000000"/>
                  <w:u w:val="single"/>
                </w:rPr>
                <w:t>Legal Proceedings</w:t>
              </w:r>
            </w:hyperlink>
            <w:r>
              <w:rPr>
                <w:color w:val="000000"/>
              </w:rPr>
              <w:t xml:space="preserve"> </w:t>
            </w:r>
          </w:p>
        </w:tc>
        <w:tc>
          <w:tcPr>
            <w:tcW w:w="429" w:type="dxa"/>
            <w:tcBorders/>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28 </w:t>
            </w:r>
          </w:p>
        </w:tc>
      </w:tr>
      <w:tr>
        <w:trPr/>
        <w:tc>
          <w:tcPr>
            <w:tcW w:w="1018"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u w:val="single"/>
              </w:rPr>
              <w:t>Item 1A.</w:t>
            </w:r>
            <w:r>
              <w:rPr/>
              <w:t xml:space="preserve"> </w:t>
            </w:r>
          </w:p>
        </w:tc>
        <w:tc>
          <w:tcPr>
            <w:tcW w:w="8758" w:type="dxa"/>
            <w:tcBorders/>
            <w:shd w:fill="CCEEFF" w:val="clear"/>
            <w:tcMar>
              <w:top w:w="0" w:type="dxa"/>
              <w:left w:w="0" w:type="dxa"/>
              <w:bottom w:w="0" w:type="dxa"/>
              <w:right w:w="0" w:type="dxa"/>
            </w:tcMar>
            <w:vAlign w:val="center"/>
          </w:tcPr>
          <w:p>
            <w:pPr>
              <w:pStyle w:val="TableContents"/>
              <w:bidi w:val="0"/>
              <w:spacing w:before="0" w:after="0"/>
              <w:jc w:val="left"/>
              <w:rPr/>
            </w:pPr>
            <w:hyperlink w:anchor="RISK_FACTORS">
              <w:r>
                <w:rPr>
                  <w:rStyle w:val="InternetLink"/>
                  <w:color w:val="000000"/>
                  <w:u w:val="single"/>
                </w:rPr>
                <w:t>Risk Factors</w:t>
              </w:r>
            </w:hyperlink>
            <w:r>
              <w:rPr>
                <w:color w:val="000000"/>
              </w:rPr>
              <w:t xml:space="preserve"> </w:t>
            </w:r>
          </w:p>
        </w:tc>
        <w:tc>
          <w:tcPr>
            <w:tcW w:w="429" w:type="dxa"/>
            <w:tcBorders/>
            <w:shd w:fill="CCEEFF" w:val="clear"/>
            <w:tcMar>
              <w:top w:w="0" w:type="dxa"/>
              <w:left w:w="0" w:type="dxa"/>
              <w:bottom w:w="0" w:type="dxa"/>
              <w:right w:w="0" w:type="dxa"/>
            </w:tcMar>
            <w:vAlign w:val="center"/>
          </w:tcPr>
          <w:p>
            <w:pPr>
              <w:pStyle w:val="TableContents"/>
              <w:bidi w:val="0"/>
              <w:spacing w:before="0" w:after="0"/>
              <w:jc w:val="center"/>
              <w:rPr>
                <w:color w:val="000000"/>
              </w:rPr>
            </w:pPr>
            <w:r>
              <w:rPr>
                <w:color w:val="000000"/>
              </w:rPr>
              <w:t xml:space="preserve">28 </w:t>
            </w:r>
          </w:p>
        </w:tc>
      </w:tr>
      <w:tr>
        <w:trPr/>
        <w:tc>
          <w:tcPr>
            <w:tcW w:w="1018" w:type="dxa"/>
            <w:tcBorders/>
            <w:tcMar>
              <w:top w:w="0" w:type="dxa"/>
              <w:left w:w="0" w:type="dxa"/>
              <w:bottom w:w="0" w:type="dxa"/>
              <w:right w:w="0" w:type="dxa"/>
            </w:tcMar>
            <w:vAlign w:val="center"/>
          </w:tcPr>
          <w:p>
            <w:pPr>
              <w:pStyle w:val="TableContents"/>
              <w:bidi w:val="0"/>
              <w:spacing w:before="0" w:after="0"/>
              <w:jc w:val="left"/>
              <w:rPr/>
            </w:pPr>
            <w:r>
              <w:rPr>
                <w:color w:val="000000"/>
                <w:u w:val="single"/>
              </w:rPr>
              <w:t>Item 2.</w:t>
            </w:r>
            <w:r>
              <w:rPr/>
              <w:t xml:space="preserve"> </w:t>
            </w:r>
          </w:p>
        </w:tc>
        <w:tc>
          <w:tcPr>
            <w:tcW w:w="8758" w:type="dxa"/>
            <w:tcBorders/>
            <w:tcMar>
              <w:top w:w="0" w:type="dxa"/>
              <w:left w:w="0" w:type="dxa"/>
              <w:bottom w:w="0" w:type="dxa"/>
              <w:right w:w="0" w:type="dxa"/>
            </w:tcMar>
            <w:vAlign w:val="center"/>
          </w:tcPr>
          <w:p>
            <w:pPr>
              <w:pStyle w:val="TableContents"/>
              <w:bidi w:val="0"/>
              <w:spacing w:before="0" w:after="0"/>
              <w:jc w:val="left"/>
              <w:rPr/>
            </w:pPr>
            <w:hyperlink w:anchor="UNREGISTERED_SALES">
              <w:r>
                <w:rPr>
                  <w:rStyle w:val="InternetLink"/>
                  <w:color w:val="000000"/>
                  <w:u w:val="single"/>
                </w:rPr>
                <w:t>Unregistered Sales of Equity Securities and Use of Proceeds</w:t>
              </w:r>
            </w:hyperlink>
            <w:r>
              <w:rPr>
                <w:color w:val="000000"/>
              </w:rPr>
              <w:t xml:space="preserve"> </w:t>
            </w:r>
          </w:p>
        </w:tc>
        <w:tc>
          <w:tcPr>
            <w:tcW w:w="429" w:type="dxa"/>
            <w:tcBorders/>
            <w:tcMar>
              <w:top w:w="0" w:type="dxa"/>
              <w:left w:w="0" w:type="dxa"/>
              <w:bottom w:w="0" w:type="dxa"/>
              <w:right w:w="0" w:type="dxa"/>
            </w:tcMar>
            <w:vAlign w:val="center"/>
          </w:tcPr>
          <w:p>
            <w:pPr>
              <w:pStyle w:val="TableContents"/>
              <w:bidi w:val="0"/>
              <w:spacing w:before="0" w:after="0"/>
              <w:jc w:val="center"/>
              <w:rPr/>
            </w:pPr>
            <w:r>
              <w:rPr>
                <w:color w:val="000000"/>
              </w:rPr>
              <w:t>29</w:t>
            </w:r>
            <w:r>
              <w:rPr/>
              <w:t xml:space="preserve"> </w:t>
            </w:r>
          </w:p>
        </w:tc>
      </w:tr>
      <w:tr>
        <w:trPr/>
        <w:tc>
          <w:tcPr>
            <w:tcW w:w="1018"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u w:val="single"/>
              </w:rPr>
              <w:t>Item 3.</w:t>
            </w:r>
            <w:r>
              <w:rPr/>
              <w:t xml:space="preserve"> </w:t>
            </w:r>
          </w:p>
        </w:tc>
        <w:tc>
          <w:tcPr>
            <w:tcW w:w="8758" w:type="dxa"/>
            <w:tcBorders/>
            <w:shd w:fill="CCEEFF" w:val="clear"/>
            <w:tcMar>
              <w:top w:w="0" w:type="dxa"/>
              <w:left w:w="0" w:type="dxa"/>
              <w:bottom w:w="0" w:type="dxa"/>
              <w:right w:w="0" w:type="dxa"/>
            </w:tcMar>
            <w:vAlign w:val="center"/>
          </w:tcPr>
          <w:p>
            <w:pPr>
              <w:pStyle w:val="TableContents"/>
              <w:bidi w:val="0"/>
              <w:spacing w:before="0" w:after="0"/>
              <w:jc w:val="left"/>
              <w:rPr/>
            </w:pPr>
            <w:hyperlink w:anchor="DEFAULTS_UPON">
              <w:r>
                <w:rPr>
                  <w:rStyle w:val="InternetLink"/>
                  <w:color w:val="000000"/>
                  <w:u w:val="single"/>
                </w:rPr>
                <w:t>Defaults Upon Senior Securities</w:t>
              </w:r>
            </w:hyperlink>
            <w:r>
              <w:rPr>
                <w:color w:val="000000"/>
              </w:rPr>
              <w:t xml:space="preserve"> </w:t>
            </w:r>
          </w:p>
        </w:tc>
        <w:tc>
          <w:tcPr>
            <w:tcW w:w="429" w:type="dxa"/>
            <w:tcBorders/>
            <w:shd w:fill="CCEEFF" w:val="clear"/>
            <w:tcMar>
              <w:top w:w="0" w:type="dxa"/>
              <w:left w:w="0" w:type="dxa"/>
              <w:bottom w:w="0" w:type="dxa"/>
              <w:right w:w="0" w:type="dxa"/>
            </w:tcMar>
            <w:vAlign w:val="center"/>
          </w:tcPr>
          <w:p>
            <w:pPr>
              <w:pStyle w:val="TableContents"/>
              <w:bidi w:val="0"/>
              <w:spacing w:before="0" w:after="0"/>
              <w:jc w:val="center"/>
              <w:rPr/>
            </w:pPr>
            <w:r>
              <w:rPr>
                <w:sz w:val="20"/>
              </w:rPr>
              <w:t>29</w:t>
            </w:r>
            <w:r>
              <w:rPr/>
              <w:t xml:space="preserve"> </w:t>
            </w:r>
          </w:p>
        </w:tc>
      </w:tr>
      <w:tr>
        <w:trPr/>
        <w:tc>
          <w:tcPr>
            <w:tcW w:w="1018" w:type="dxa"/>
            <w:tcBorders/>
            <w:tcMar>
              <w:top w:w="0" w:type="dxa"/>
              <w:left w:w="0" w:type="dxa"/>
              <w:bottom w:w="0" w:type="dxa"/>
              <w:right w:w="0" w:type="dxa"/>
            </w:tcMar>
            <w:vAlign w:val="center"/>
          </w:tcPr>
          <w:p>
            <w:pPr>
              <w:pStyle w:val="TableContents"/>
              <w:bidi w:val="0"/>
              <w:spacing w:before="0" w:after="0"/>
              <w:jc w:val="left"/>
              <w:rPr/>
            </w:pPr>
            <w:r>
              <w:rPr>
                <w:color w:val="000000"/>
                <w:u w:val="single"/>
              </w:rPr>
              <w:t>Item 4.</w:t>
            </w:r>
            <w:r>
              <w:rPr/>
              <w:t xml:space="preserve"> </w:t>
            </w:r>
          </w:p>
        </w:tc>
        <w:tc>
          <w:tcPr>
            <w:tcW w:w="8758" w:type="dxa"/>
            <w:tcBorders/>
            <w:tcMar>
              <w:top w:w="0" w:type="dxa"/>
              <w:left w:w="0" w:type="dxa"/>
              <w:bottom w:w="0" w:type="dxa"/>
              <w:right w:w="0" w:type="dxa"/>
            </w:tcMar>
            <w:vAlign w:val="center"/>
          </w:tcPr>
          <w:p>
            <w:pPr>
              <w:pStyle w:val="TableContents"/>
              <w:bidi w:val="0"/>
              <w:spacing w:before="0" w:after="0"/>
              <w:jc w:val="left"/>
              <w:rPr/>
            </w:pPr>
            <w:hyperlink w:anchor="MINE_SAFETY">
              <w:r>
                <w:rPr>
                  <w:rStyle w:val="InternetLink"/>
                  <w:color w:val="000000"/>
                  <w:u w:val="single"/>
                </w:rPr>
                <w:t>Mine Safety Disclosures</w:t>
              </w:r>
            </w:hyperlink>
            <w:r>
              <w:rPr>
                <w:color w:val="000000"/>
              </w:rPr>
              <w:t xml:space="preserve"> </w:t>
            </w:r>
          </w:p>
        </w:tc>
        <w:tc>
          <w:tcPr>
            <w:tcW w:w="429" w:type="dxa"/>
            <w:tcBorders/>
            <w:tcMar>
              <w:top w:w="0" w:type="dxa"/>
              <w:left w:w="0" w:type="dxa"/>
              <w:bottom w:w="0" w:type="dxa"/>
              <w:right w:w="0" w:type="dxa"/>
            </w:tcMar>
            <w:vAlign w:val="center"/>
          </w:tcPr>
          <w:p>
            <w:pPr>
              <w:pStyle w:val="TableContents"/>
              <w:bidi w:val="0"/>
              <w:spacing w:before="0" w:after="0"/>
              <w:jc w:val="center"/>
              <w:rPr/>
            </w:pPr>
            <w:r>
              <w:rPr/>
              <w:t xml:space="preserve">29 </w:t>
            </w:r>
          </w:p>
        </w:tc>
      </w:tr>
      <w:tr>
        <w:trPr/>
        <w:tc>
          <w:tcPr>
            <w:tcW w:w="1018" w:type="dxa"/>
            <w:tcBorders/>
            <w:shd w:fill="CCEEFF" w:val="clear"/>
            <w:tcMar>
              <w:top w:w="0" w:type="dxa"/>
              <w:left w:w="0" w:type="dxa"/>
              <w:bottom w:w="0" w:type="dxa"/>
              <w:right w:w="0" w:type="dxa"/>
            </w:tcMar>
            <w:vAlign w:val="center"/>
          </w:tcPr>
          <w:p>
            <w:pPr>
              <w:pStyle w:val="TableContents"/>
              <w:bidi w:val="0"/>
              <w:spacing w:before="0" w:after="0"/>
              <w:jc w:val="left"/>
              <w:rPr/>
            </w:pPr>
            <w:r>
              <w:rPr>
                <w:color w:val="000000"/>
                <w:u w:val="single"/>
              </w:rPr>
              <w:t>Item 5.</w:t>
            </w:r>
            <w:r>
              <w:rPr/>
              <w:t xml:space="preserve"> </w:t>
            </w:r>
          </w:p>
        </w:tc>
        <w:tc>
          <w:tcPr>
            <w:tcW w:w="8758" w:type="dxa"/>
            <w:tcBorders/>
            <w:shd w:fill="CCEEFF" w:val="clear"/>
            <w:tcMar>
              <w:top w:w="0" w:type="dxa"/>
              <w:left w:w="0" w:type="dxa"/>
              <w:bottom w:w="0" w:type="dxa"/>
              <w:right w:w="0" w:type="dxa"/>
            </w:tcMar>
            <w:vAlign w:val="center"/>
          </w:tcPr>
          <w:p>
            <w:pPr>
              <w:pStyle w:val="TableContents"/>
              <w:bidi w:val="0"/>
              <w:spacing w:before="0" w:after="0"/>
              <w:jc w:val="left"/>
              <w:rPr/>
            </w:pPr>
            <w:hyperlink w:anchor="OTHER">
              <w:r>
                <w:rPr>
                  <w:rStyle w:val="InternetLink"/>
                  <w:color w:val="000000"/>
                  <w:u w:val="single"/>
                </w:rPr>
                <w:t>Other Information</w:t>
              </w:r>
            </w:hyperlink>
            <w:r>
              <w:rPr>
                <w:color w:val="000000"/>
              </w:rPr>
              <w:t xml:space="preserve"> </w:t>
            </w:r>
          </w:p>
        </w:tc>
        <w:tc>
          <w:tcPr>
            <w:tcW w:w="429"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29 </w:t>
            </w:r>
          </w:p>
        </w:tc>
      </w:tr>
      <w:tr>
        <w:trPr/>
        <w:tc>
          <w:tcPr>
            <w:tcW w:w="1018" w:type="dxa"/>
            <w:tcBorders/>
            <w:tcMar>
              <w:top w:w="0" w:type="dxa"/>
              <w:left w:w="0" w:type="dxa"/>
              <w:bottom w:w="0" w:type="dxa"/>
              <w:right w:w="0" w:type="dxa"/>
            </w:tcMar>
            <w:vAlign w:val="center"/>
          </w:tcPr>
          <w:p>
            <w:pPr>
              <w:pStyle w:val="TableContents"/>
              <w:bidi w:val="0"/>
              <w:spacing w:before="0" w:after="0"/>
              <w:jc w:val="left"/>
              <w:rPr/>
            </w:pPr>
            <w:r>
              <w:rPr>
                <w:color w:val="000000"/>
                <w:u w:val="single"/>
              </w:rPr>
              <w:t>Item 6.</w:t>
            </w:r>
            <w:r>
              <w:rPr/>
              <w:t xml:space="preserve"> </w:t>
            </w:r>
          </w:p>
        </w:tc>
        <w:tc>
          <w:tcPr>
            <w:tcW w:w="8758" w:type="dxa"/>
            <w:tcBorders/>
            <w:tcMar>
              <w:top w:w="0" w:type="dxa"/>
              <w:left w:w="0" w:type="dxa"/>
              <w:bottom w:w="0" w:type="dxa"/>
              <w:right w:w="0" w:type="dxa"/>
            </w:tcMar>
            <w:vAlign w:val="center"/>
          </w:tcPr>
          <w:p>
            <w:pPr>
              <w:pStyle w:val="TableContents"/>
              <w:bidi w:val="0"/>
              <w:spacing w:before="0" w:after="0"/>
              <w:jc w:val="left"/>
              <w:rPr/>
            </w:pPr>
            <w:hyperlink w:anchor="EXHIBITS">
              <w:r>
                <w:rPr>
                  <w:rStyle w:val="InternetLink"/>
                  <w:color w:val="000000"/>
                  <w:u w:val="single"/>
                </w:rPr>
                <w:t>Exhibits</w:t>
              </w:r>
            </w:hyperlink>
            <w:r>
              <w:rPr>
                <w:color w:val="000000"/>
              </w:rPr>
              <w:t xml:space="preserve"> </w:t>
            </w:r>
          </w:p>
        </w:tc>
        <w:tc>
          <w:tcPr>
            <w:tcW w:w="429" w:type="dxa"/>
            <w:tcBorders/>
            <w:tcMar>
              <w:top w:w="0" w:type="dxa"/>
              <w:left w:w="0" w:type="dxa"/>
              <w:bottom w:w="0" w:type="dxa"/>
              <w:right w:w="0" w:type="dxa"/>
            </w:tcMar>
            <w:vAlign w:val="center"/>
          </w:tcPr>
          <w:p>
            <w:pPr>
              <w:pStyle w:val="TableContents"/>
              <w:bidi w:val="0"/>
              <w:spacing w:before="0" w:after="0"/>
              <w:jc w:val="center"/>
              <w:rPr/>
            </w:pPr>
            <w:r>
              <w:rPr>
                <w:color w:val="000000"/>
              </w:rPr>
              <w:t>30</w:t>
            </w:r>
            <w:r>
              <w:rPr/>
              <w:t xml:space="preserve"> </w:t>
            </w:r>
          </w:p>
        </w:tc>
      </w:tr>
      <w:tr>
        <w:trPr/>
        <w:tc>
          <w:tcPr>
            <w:tcW w:w="1018"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  </w:t>
            </w:r>
          </w:p>
        </w:tc>
        <w:tc>
          <w:tcPr>
            <w:tcW w:w="8758" w:type="dxa"/>
            <w:tcBorders/>
            <w:shd w:fill="CCEEFF" w:val="clear"/>
            <w:tcMar>
              <w:top w:w="0" w:type="dxa"/>
              <w:left w:w="0" w:type="dxa"/>
              <w:bottom w:w="0" w:type="dxa"/>
              <w:right w:w="0" w:type="dxa"/>
            </w:tcMar>
            <w:vAlign w:val="center"/>
          </w:tcPr>
          <w:p>
            <w:pPr>
              <w:pStyle w:val="TableContents"/>
              <w:bidi w:val="0"/>
              <w:spacing w:before="0" w:after="0"/>
              <w:jc w:val="left"/>
              <w:rPr/>
            </w:pPr>
            <w:hyperlink w:anchor="SIGNATURES">
              <w:r>
                <w:rPr>
                  <w:rStyle w:val="InternetLink"/>
                  <w:color w:val="000000"/>
                  <w:u w:val="single"/>
                </w:rPr>
                <w:t>SIGNATURES</w:t>
              </w:r>
            </w:hyperlink>
            <w:r>
              <w:rPr>
                <w:color w:val="000000"/>
              </w:rPr>
              <w:t xml:space="preserve"> </w:t>
            </w:r>
          </w:p>
        </w:tc>
        <w:tc>
          <w:tcPr>
            <w:tcW w:w="429" w:type="dxa"/>
            <w:tcBorders/>
            <w:shd w:fill="CCEEFF" w:val="clear"/>
            <w:tcMar>
              <w:top w:w="0" w:type="dxa"/>
              <w:left w:w="0" w:type="dxa"/>
              <w:bottom w:w="0" w:type="dxa"/>
              <w:right w:w="0" w:type="dxa"/>
            </w:tcMar>
            <w:vAlign w:val="center"/>
          </w:tcPr>
          <w:p>
            <w:pPr>
              <w:pStyle w:val="TableContents"/>
              <w:bidi w:val="0"/>
              <w:spacing w:before="0" w:after="0"/>
              <w:jc w:val="center"/>
              <w:rPr/>
            </w:pPr>
            <w:r>
              <w:rPr>
                <w:color w:val="000000"/>
              </w:rPr>
              <w:t>31</w:t>
            </w:r>
            <w:r>
              <w:rPr/>
              <w:t xml:space="preserve">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This Quarterly Report on Form 10-Q and the documents incorporated by reference contain “forward-looking statements”, within the meaning of Section 21E of the Securities Exchange Act of 1934, as amended,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or will not have a material adverse effect on our consolidated financial position, results of operations or liquidity; statements concerning projections, predictions, expectations, estimates or forecasts as to our business, financial and operating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compliance with the extensive existing regulatory framework applicable to our industry or our failure to timely obtain and maintain regulatory approvals and accreditation;</w:t>
      </w:r>
      <w:r>
        <w:rPr>
          <w:rFonts w:ascii="Times New Roman" w:hAnsi="Times New Roman"/>
          <w:sz w:val="20"/>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compliance with continuous changes in applicable federal and state laws and regulations, including pending, and future rulemaking by the U.S. Department of Education;</w:t>
      </w:r>
      <w:r>
        <w:rPr>
          <w:rFonts w:ascii="Times New Roman" w:hAnsi="Times New Roman"/>
          <w:sz w:val="20"/>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the effect of current and future Title IV Program regulations arising out of negotiated rulemakings, including any potential reductions in funding or restrictions on the use of funds received through Title IV Programs;</w:t>
      </w:r>
      <w:r>
        <w:rPr>
          <w:rFonts w:ascii="Times New Roman" w:hAnsi="Times New Roman"/>
          <w:sz w:val="20"/>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successful updating and expansion of the content of existing programs and developing new programs in a cost-effective and timely manner;</w:t>
      </w:r>
      <w:r>
        <w:rPr>
          <w:rFonts w:ascii="Times New Roman" w:hAnsi="Times New Roman"/>
          <w:sz w:val="20"/>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uncertainties regarding our ability to comply with federal laws and regulations regarding the 90/10 Rule and cohort default rates;</w:t>
      </w:r>
      <w:r>
        <w:rPr>
          <w:rFonts w:ascii="Times New Roman" w:hAnsi="Times New Roman"/>
          <w:sz w:val="20"/>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successful implementation of our strategic plan;</w:t>
      </w:r>
      <w:r>
        <w:rPr>
          <w:rFonts w:ascii="Times New Roman" w:hAnsi="Times New Roman"/>
          <w:sz w:val="20"/>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our inability to maintain eligibility for or to process federal student financial assistance;</w:t>
      </w:r>
      <w:r>
        <w:rPr>
          <w:rFonts w:ascii="Times New Roman" w:hAnsi="Times New Roman"/>
          <w:sz w:val="20"/>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286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regulatory investigations or actions that may be commenced against us or other companies in our industry;</w:t>
      </w:r>
      <w:r>
        <w:rPr>
          <w:rFonts w:ascii="Times New Roman" w:hAnsi="Times New Roman"/>
          <w:sz w:val="20"/>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changes in the state regulatory environment or budgetary constraints;</w:t>
      </w:r>
      <w:r>
        <w:rPr>
          <w:rFonts w:ascii="Times New Roman" w:hAnsi="Times New Roman"/>
          <w:sz w:val="20"/>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286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decline in enrollment;</w:t>
      </w:r>
      <w:r>
        <w:rPr>
          <w:rFonts w:ascii="Times New Roman" w:hAnsi="Times New Roman"/>
          <w:sz w:val="20"/>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86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challenges in our students’ ability to find employment as a result of economic conditions;</w:t>
      </w:r>
      <w:r>
        <w:rPr>
          <w:rFonts w:ascii="Times New Roman" w:hAnsi="Times New Roman"/>
          <w:sz w:val="20"/>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maintenance and expansion of existing industry relationships and development of new industry relationships;</w:t>
      </w:r>
      <w:r>
        <w:rPr>
          <w:rFonts w:ascii="Times New Roman" w:hAnsi="Times New Roman"/>
          <w:sz w:val="20"/>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a loss of members of our senior management or other key employees;</w:t>
      </w:r>
      <w:r>
        <w:rPr>
          <w:rFonts w:ascii="Times New Roman" w:hAnsi="Times New Roman"/>
          <w:sz w:val="20"/>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uncertainties associated with opening new campuses and closing existing campuses;</w:t>
      </w:r>
      <w:r>
        <w:rPr>
          <w:rFonts w:ascii="Times New Roman" w:hAnsi="Times New Roman"/>
          <w:sz w:val="20"/>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uncertainties associated with the integration of acquired schools;</w:t>
      </w:r>
      <w:r>
        <w:rPr>
          <w:rFonts w:ascii="Times New Roman" w:hAnsi="Times New Roman"/>
          <w:sz w:val="20"/>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industry competition;</w:t>
      </w:r>
      <w:r>
        <w:rPr>
          <w:rFonts w:ascii="Times New Roman" w:hAnsi="Times New Roman"/>
          <w:sz w:val="20"/>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the effect of any cybersecurity incident;</w:t>
      </w:r>
      <w:r>
        <w:rPr>
          <w:rFonts w:ascii="Times New Roman" w:hAnsi="Times New Roman"/>
          <w:sz w:val="20"/>
        </w:rPr>
        <w:t xml:space="preserve">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the effect of public health outbreaks, epidemics and pandemics;</w:t>
      </w:r>
      <w:r>
        <w:rPr>
          <w:rFonts w:ascii="Times New Roman" w:hAnsi="Times New Roman"/>
          <w:sz w:val="20"/>
        </w:rPr>
        <w:t xml:space="preser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286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general economic conditions; and</w:t>
      </w:r>
      <w:r>
        <w:rPr>
          <w:rFonts w:ascii="Times New Roman" w:hAnsi="Times New Roman"/>
          <w:sz w:val="20"/>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286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other factors discussed in the Company’s Annual Report on Form 10-K for the fiscal year ended December 31, 2025, under the headings “Business,” “Risk Factors” and “Management’s Discussion and Analysis of Financial Condition and Results of Operations.”</w:t>
      </w:r>
      <w:r>
        <w:rPr>
          <w:rFonts w:ascii="Times New Roman" w:hAnsi="Times New Roman"/>
          <w:sz w:val="20"/>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286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Forward-looking statements speak only as of the date the statements are made. Except as required under the federal securities laws and rules and regulations of the United States Securities and Exchange Commission, we undertake no obligation to update or revise forward-looking statements to reflect actual results, changes in assumptions or changes in other factors affecting forward-looking information.</w:t>
      </w:r>
    </w:p>
    <w:p>
      <w:pPr>
        <w:pStyle w:val="TextBody"/>
        <w:bidi w:val="0"/>
        <w:spacing w:before="0" w:after="0"/>
        <w:ind w:left="0" w:right="0" w:firstLine="72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bookmarkStart w:id="5" w:name="PART_I"/>
      <w:bookmarkEnd w:id="5"/>
      <w:r>
        <w:rPr>
          <w:rFonts w:ascii="Times New Roman" w:hAnsi="Times New Roman"/>
          <w:b/>
          <w:color w:val="000000"/>
          <w:sz w:val="20"/>
        </w:rPr>
        <w:t>PART I – FINANCIAL INFORMATION</w:t>
      </w:r>
      <w:r>
        <w:rPr>
          <w:rFonts w:ascii="Times New Roman" w:hAnsi="Times New Roman"/>
          <w:sz w:val="20"/>
        </w:rPr>
        <w:t xml:space="preserve"> </w:t>
      </w:r>
    </w:p>
    <w:p>
      <w:pPr>
        <w:pStyle w:val="TextBody"/>
        <w:bidi w:val="0"/>
        <w:spacing w:before="0" w:after="0"/>
        <w:ind w:left="720" w:right="0" w:hanging="0"/>
        <w:jc w:val="left"/>
        <w:rPr/>
      </w:pPr>
      <w:r>
        <w:rPr/>
        <w:t xml:space="preserve">  </w:t>
      </w:r>
    </w:p>
    <w:p>
      <w:pPr>
        <w:pStyle w:val="TextBody"/>
        <w:bidi w:val="0"/>
        <w:spacing w:before="0" w:after="0"/>
        <w:ind w:left="0" w:right="0" w:hanging="900"/>
        <w:jc w:val="left"/>
        <w:rPr>
          <w:rFonts w:ascii="Times New Roman" w:hAnsi="Times New Roman"/>
          <w:sz w:val="20"/>
        </w:rPr>
      </w:pPr>
      <w:bookmarkStart w:id="6" w:name="FINANCIAL_STATEMENTS"/>
      <w:bookmarkEnd w:id="6"/>
      <w:r>
        <w:rPr>
          <w:rFonts w:ascii="Times New Roman" w:hAnsi="Times New Roman"/>
          <w:b/>
          <w:sz w:val="20"/>
        </w:rPr>
        <w:t>FINANCIAL STATEMENTS</w:t>
      </w:r>
      <w:r>
        <w:rPr>
          <w:rFonts w:ascii="Times New Roman" w:hAnsi="Times New Roman"/>
          <w:sz w:val="20"/>
        </w:rPr>
        <w:t xml:space="preser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5715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sz w:val="20"/>
                              </w:rPr>
                              <w:t>Item 1.</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1.</w:t>
                      </w:r>
                      <w:r>
                        <w:rPr/>
                        <w:t xml:space="preserve"> </w:t>
                      </w:r>
                    </w:p>
                  </w:txbxContent>
                </v:textbox>
                <w10:wrap type="square" side="right"/>
              </v:rect>
            </w:pict>
          </mc:Fallback>
        </mc:AlternateContent>
      </w:r>
    </w:p>
    <w:p>
      <w:pPr>
        <w:pStyle w:val="TextBody"/>
        <w:bidi w:val="0"/>
        <w:spacing w:before="0" w:after="0"/>
        <w:ind w:left="0" w:right="0" w:hanging="720"/>
        <w:jc w:val="center"/>
        <w:rPr>
          <w:rFonts w:ascii="Times New Roman" w:hAnsi="Times New Roman"/>
          <w:sz w:val="20"/>
        </w:rPr>
      </w:pPr>
      <w:r>
        <w:rPr>
          <w:rFonts w:ascii="Times New Roman" w:hAnsi="Times New Roman"/>
          <w:b/>
          <w:color w:val="000000"/>
          <w:sz w:val="20"/>
        </w:rPr>
        <w:t>LINCOLN EDUCATIONAL SERVICES CORPORATION AND SUBSIDIARIES</w:t>
      </w:r>
      <w:r>
        <w:rPr>
          <w:rFonts w:ascii="Times New Roman" w:hAnsi="Times New Roman"/>
          <w:sz w:val="20"/>
        </w:rPr>
        <w:t xml:space="preserv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jc w:val="center"/>
        <w:rPr>
          <w:rFonts w:ascii="Times New Roman" w:hAnsi="Times New Roman"/>
          <w:sz w:val="20"/>
        </w:rPr>
      </w:pPr>
      <w:bookmarkStart w:id="7" w:name="BALANCE_SHEETS"/>
      <w:bookmarkEnd w:id="7"/>
      <w:r>
        <w:rPr>
          <w:rFonts w:ascii="Times New Roman" w:hAnsi="Times New Roman"/>
          <w:b/>
          <w:color w:val="000000"/>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193"/>
        <w:gridCol w:w="90"/>
        <w:gridCol w:w="170"/>
        <w:gridCol w:w="861"/>
        <w:gridCol w:w="90"/>
        <w:gridCol w:w="90"/>
        <w:gridCol w:w="170"/>
        <w:gridCol w:w="2405"/>
        <w:gridCol w:w="136"/>
      </w:tblGrid>
      <w:tr>
        <w:trPr/>
        <w:tc>
          <w:tcPr>
            <w:tcW w:w="61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61" w:type="dxa"/>
            <w:tcBorders/>
            <w:vAlign w:val="center"/>
          </w:tcPr>
          <w:p>
            <w:pPr>
              <w:pStyle w:val="TableContents"/>
              <w:bidi w:val="0"/>
              <w:spacing w:before="0" w:after="283"/>
              <w:jc w:val="center"/>
              <w:rPr>
                <w:b/>
              </w:rPr>
            </w:pPr>
            <w:r>
              <w:rPr>
                <w:b/>
              </w:rPr>
              <w:t xml:space="preserve">June 30,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center"/>
              <w:rPr>
                <w:b/>
              </w:rPr>
            </w:pPr>
            <w:r>
              <w:rPr>
                <w:b/>
              </w:rPr>
              <w:t xml:space="preserve">December 31, </w:t>
            </w:r>
          </w:p>
        </w:tc>
        <w:tc>
          <w:tcPr>
            <w:tcW w:w="136" w:type="dxa"/>
            <w:tcBorders/>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1"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405"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6" w:type="dxa"/>
            <w:tcBorders/>
            <w:vAlign w:val="center"/>
          </w:tcPr>
          <w:p>
            <w:pPr>
              <w:pStyle w:val="TableContents"/>
              <w:bidi w:val="0"/>
              <w:spacing w:before="0" w:after="283"/>
              <w:jc w:val="center"/>
              <w:rPr/>
            </w:pPr>
            <w:r>
              <w:rPr/>
              <w:t> </w:t>
            </w:r>
          </w:p>
        </w:tc>
      </w:tr>
      <w:tr>
        <w:trPr/>
        <w:tc>
          <w:tcPr>
            <w:tcW w:w="6193" w:type="dxa"/>
            <w:tcBorders/>
            <w:vAlign w:val="center"/>
          </w:tcPr>
          <w:p>
            <w:pPr>
              <w:pStyle w:val="TableContents"/>
              <w:bidi w:val="0"/>
              <w:spacing w:before="0" w:after="0"/>
              <w:ind w:left="0" w:right="0" w:hanging="144"/>
              <w:jc w:val="left"/>
              <w:rPr>
                <w:b/>
              </w:rPr>
            </w:pPr>
            <w:r>
              <w:rPr>
                <w:b w:val="false"/>
              </w:rPr>
              <w:t>ASSETS</w:t>
            </w:r>
            <w:r>
              <w:rPr>
                <w:b/>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CURRENT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Cash and cash equivalents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61" w:type="dxa"/>
            <w:tcBorders/>
            <w:shd w:fill="CCEEFF" w:val="clear"/>
            <w:vAlign w:val="center"/>
          </w:tcPr>
          <w:p>
            <w:pPr>
              <w:pStyle w:val="TableContents"/>
              <w:bidi w:val="0"/>
              <w:spacing w:before="0" w:after="283"/>
              <w:jc w:val="right"/>
              <w:rPr/>
            </w:pPr>
            <w:r>
              <w:rPr/>
              <w:t>44,178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405" w:type="dxa"/>
            <w:tcBorders/>
            <w:shd w:fill="CCEEFF" w:val="clear"/>
            <w:vAlign w:val="center"/>
          </w:tcPr>
          <w:p>
            <w:pPr>
              <w:pStyle w:val="TableContents"/>
              <w:bidi w:val="0"/>
              <w:spacing w:before="0" w:after="283"/>
              <w:jc w:val="right"/>
              <w:rPr/>
            </w:pPr>
            <w:r>
              <w:rPr/>
              <w:t>28,519</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Accounts receivable, less allowance of $41,378 and $43,975 at June 30, 2026 and December 31, 2025, respectively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45,871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right"/>
              <w:rPr/>
            </w:pPr>
            <w:r>
              <w:rPr/>
              <w:t>36,929</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Inventories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4,077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right"/>
              <w:rPr/>
            </w:pPr>
            <w:r>
              <w:rPr/>
              <w:t>3,986</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Income tax receivable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1,923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right"/>
              <w:rPr/>
            </w:pPr>
            <w:r>
              <w:rPr/>
              <w:t>1,599</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Tenant allowance receivable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5,587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right"/>
              <w:rPr/>
            </w:pPr>
            <w:r>
              <w:rPr/>
              <w:t>8,127</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Prepaid and other assets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tcMar>
              <w:bottom w:w="28" w:type="dxa"/>
            </w:tcMar>
            <w:vAlign w:val="center"/>
          </w:tcPr>
          <w:p>
            <w:pPr>
              <w:pStyle w:val="TableContents"/>
              <w:bidi w:val="0"/>
              <w:spacing w:before="0" w:after="283"/>
              <w:jc w:val="right"/>
              <w:rPr/>
            </w:pPr>
            <w:r>
              <w:rPr/>
              <w:t>4,613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2405" w:type="dxa"/>
            <w:tcBorders>
              <w:bottom w:val="single" w:sz="12" w:space="0" w:color="000000"/>
            </w:tcBorders>
            <w:tcMar>
              <w:bottom w:w="28" w:type="dxa"/>
            </w:tcMar>
            <w:vAlign w:val="center"/>
          </w:tcPr>
          <w:p>
            <w:pPr>
              <w:pStyle w:val="TableContents"/>
              <w:bidi w:val="0"/>
              <w:spacing w:before="0" w:after="283"/>
              <w:jc w:val="right"/>
              <w:rPr/>
            </w:pPr>
            <w:r>
              <w:rPr/>
              <w:t>7,872</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Total current assets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CCEEFF" w:val="clear"/>
            <w:tcMar>
              <w:bottom w:w="28" w:type="dxa"/>
            </w:tcMar>
            <w:vAlign w:val="center"/>
          </w:tcPr>
          <w:p>
            <w:pPr>
              <w:pStyle w:val="TableContents"/>
              <w:bidi w:val="0"/>
              <w:spacing w:before="0" w:after="283"/>
              <w:jc w:val="right"/>
              <w:rPr/>
            </w:pPr>
            <w:r>
              <w:rPr/>
              <w:t>106,249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05" w:type="dxa"/>
            <w:tcBorders>
              <w:bottom w:val="single" w:sz="12" w:space="0" w:color="000000"/>
            </w:tcBorders>
            <w:shd w:fill="CCEEFF" w:val="clear"/>
            <w:tcMar>
              <w:bottom w:w="28" w:type="dxa"/>
            </w:tcMar>
            <w:vAlign w:val="center"/>
          </w:tcPr>
          <w:p>
            <w:pPr>
              <w:pStyle w:val="TableContents"/>
              <w:bidi w:val="0"/>
              <w:spacing w:before="0" w:after="283"/>
              <w:jc w:val="right"/>
              <w:rPr/>
            </w:pPr>
            <w:r>
              <w:rPr/>
              <w:t>87,032</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6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2405"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righ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PROPERTY, EQUIPMENT AND FACILITIES - At cost, net of accumulated depreciation and amortization of $160,833 and $148,067 at June 30, 2026 and December 31, 2025, respectively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CCEEFF" w:val="clear"/>
            <w:tcMar>
              <w:bottom w:w="28" w:type="dxa"/>
            </w:tcMar>
            <w:vAlign w:val="center"/>
          </w:tcPr>
          <w:p>
            <w:pPr>
              <w:pStyle w:val="TableContents"/>
              <w:bidi w:val="0"/>
              <w:spacing w:before="0" w:after="283"/>
              <w:jc w:val="right"/>
              <w:rPr/>
            </w:pPr>
            <w:r>
              <w:rPr/>
              <w:t>190,686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05" w:type="dxa"/>
            <w:tcBorders>
              <w:bottom w:val="single" w:sz="12" w:space="0" w:color="000000"/>
            </w:tcBorders>
            <w:shd w:fill="CCEEFF" w:val="clear"/>
            <w:tcMar>
              <w:bottom w:w="28" w:type="dxa"/>
            </w:tcMar>
            <w:vAlign w:val="center"/>
          </w:tcPr>
          <w:p>
            <w:pPr>
              <w:pStyle w:val="TableContents"/>
              <w:bidi w:val="0"/>
              <w:spacing w:before="0" w:after="283"/>
              <w:jc w:val="right"/>
              <w:rPr/>
            </w:pPr>
            <w:r>
              <w:rPr/>
              <w:t>171,603</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OTHER ASSETS: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Noncurrent receivables, less allowance of $26,865 and $26,371 at June 30, 2026 and  December 31, 2025, respectively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21,645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right"/>
              <w:rPr/>
            </w:pPr>
            <w:r>
              <w:rPr/>
              <w:t>21,248</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Deferred finance charges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1,204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right"/>
              <w:rPr/>
            </w:pPr>
            <w:r>
              <w:rPr/>
              <w:t>302</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Deferred income taxes, net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21,668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right"/>
              <w:rPr/>
            </w:pPr>
            <w:r>
              <w:rPr/>
              <w:t>21,668</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Operating lease right-of-use assets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151,565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right"/>
              <w:rPr/>
            </w:pPr>
            <w:r>
              <w:rPr/>
              <w:t>154,223</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Finance lease right-of-use assets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24,240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right"/>
              <w:rPr/>
            </w:pPr>
            <w:r>
              <w:rPr/>
              <w:t>25,075</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Goodwill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10,742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right"/>
              <w:rPr/>
            </w:pPr>
            <w:r>
              <w:rPr/>
              <w:t>10,742</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Other assets, net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tcMar>
              <w:bottom w:w="28" w:type="dxa"/>
            </w:tcMar>
            <w:vAlign w:val="center"/>
          </w:tcPr>
          <w:p>
            <w:pPr>
              <w:pStyle w:val="TableContents"/>
              <w:bidi w:val="0"/>
              <w:spacing w:before="0" w:after="283"/>
              <w:jc w:val="right"/>
              <w:rPr/>
            </w:pPr>
            <w:r>
              <w:rPr/>
              <w:t>1,781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2405" w:type="dxa"/>
            <w:tcBorders>
              <w:bottom w:val="single" w:sz="12" w:space="0" w:color="000000"/>
            </w:tcBorders>
            <w:tcMar>
              <w:bottom w:w="28" w:type="dxa"/>
            </w:tcMar>
            <w:vAlign w:val="center"/>
          </w:tcPr>
          <w:p>
            <w:pPr>
              <w:pStyle w:val="TableContents"/>
              <w:bidi w:val="0"/>
              <w:spacing w:before="0" w:after="283"/>
              <w:jc w:val="right"/>
              <w:rPr/>
            </w:pPr>
            <w:r>
              <w:rPr/>
              <w:t>1,271</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Total other assets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CCEEFF" w:val="clear"/>
            <w:tcMar>
              <w:bottom w:w="28" w:type="dxa"/>
            </w:tcMar>
            <w:vAlign w:val="center"/>
          </w:tcPr>
          <w:p>
            <w:pPr>
              <w:pStyle w:val="TableContents"/>
              <w:bidi w:val="0"/>
              <w:spacing w:before="0" w:after="283"/>
              <w:jc w:val="right"/>
              <w:rPr/>
            </w:pPr>
            <w:r>
              <w:rPr/>
              <w:t>232,845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05" w:type="dxa"/>
            <w:tcBorders>
              <w:bottom w:val="single" w:sz="12" w:space="0" w:color="000000"/>
            </w:tcBorders>
            <w:shd w:fill="CCEEFF" w:val="clear"/>
            <w:tcMar>
              <w:bottom w:w="28" w:type="dxa"/>
            </w:tcMar>
            <w:vAlign w:val="center"/>
          </w:tcPr>
          <w:p>
            <w:pPr>
              <w:pStyle w:val="TableContents"/>
              <w:bidi w:val="0"/>
              <w:spacing w:before="0" w:after="283"/>
              <w:jc w:val="right"/>
              <w:rPr/>
            </w:pPr>
            <w:r>
              <w:rPr/>
              <w:t>234,529</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b/>
              </w:rPr>
              <w:t>TOTAL ASSETS</w:t>
            </w:r>
            <w:r>
              <w:rPr/>
              <w:t xml:space="preserve">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61" w:type="dxa"/>
            <w:tcBorders>
              <w:bottom w:val="double" w:sz="8" w:space="0" w:color="000000"/>
            </w:tcBorders>
            <w:tcMar>
              <w:bottom w:w="28" w:type="dxa"/>
            </w:tcMar>
            <w:vAlign w:val="center"/>
          </w:tcPr>
          <w:p>
            <w:pPr>
              <w:pStyle w:val="TableContents"/>
              <w:bidi w:val="0"/>
              <w:spacing w:before="0" w:after="283"/>
              <w:jc w:val="right"/>
              <w:rPr/>
            </w:pPr>
            <w:r>
              <w:rPr/>
              <w:t>529,780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2405" w:type="dxa"/>
            <w:tcBorders>
              <w:bottom w:val="double" w:sz="8" w:space="0" w:color="000000"/>
            </w:tcBorders>
            <w:tcMar>
              <w:bottom w:w="28" w:type="dxa"/>
            </w:tcMar>
            <w:vAlign w:val="center"/>
          </w:tcPr>
          <w:p>
            <w:pPr>
              <w:pStyle w:val="TableContents"/>
              <w:bidi w:val="0"/>
              <w:spacing w:before="0" w:after="283"/>
              <w:jc w:val="right"/>
              <w:rPr/>
            </w:pPr>
            <w:r>
              <w:rPr/>
              <w:t>493,164</w:t>
            </w:r>
          </w:p>
        </w:tc>
        <w:tc>
          <w:tcPr>
            <w:tcW w:w="136"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b/>
              </w:rPr>
              <w:t>LIABILITIES AND STOCKHOLDERS' EQUITY</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CURRENT LIABILITIES: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Unearned tuition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61" w:type="dxa"/>
            <w:tcBorders/>
            <w:vAlign w:val="center"/>
          </w:tcPr>
          <w:p>
            <w:pPr>
              <w:pStyle w:val="TableContents"/>
              <w:bidi w:val="0"/>
              <w:spacing w:before="0" w:after="283"/>
              <w:jc w:val="right"/>
              <w:rPr/>
            </w:pPr>
            <w:r>
              <w:rPr/>
              <w:t>51,920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right"/>
              <w:rPr/>
            </w:pPr>
            <w:r>
              <w:rPr/>
              <w:t>44,159</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Accounts payable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30,677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right"/>
              <w:rPr/>
            </w:pPr>
            <w:r>
              <w:rPr/>
              <w:t>27,023</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Accrued expenses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16,695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right"/>
              <w:rPr/>
            </w:pPr>
            <w:r>
              <w:rPr/>
              <w:t>18,430</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Current portion of operating lease liabilities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11,127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right"/>
              <w:rPr/>
            </w:pPr>
            <w:r>
              <w:rPr/>
              <w:t>10,634</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Current portion of finance lease liabilities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tcMar>
              <w:bottom w:w="28" w:type="dxa"/>
            </w:tcMar>
            <w:vAlign w:val="center"/>
          </w:tcPr>
          <w:p>
            <w:pPr>
              <w:pStyle w:val="TableContents"/>
              <w:bidi w:val="0"/>
              <w:spacing w:before="0" w:after="283"/>
              <w:jc w:val="right"/>
              <w:rPr/>
            </w:pPr>
            <w:r>
              <w:rPr/>
              <w:t>534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2405" w:type="dxa"/>
            <w:tcBorders>
              <w:bottom w:val="single" w:sz="12" w:space="0" w:color="000000"/>
            </w:tcBorders>
            <w:tcMar>
              <w:bottom w:w="28" w:type="dxa"/>
            </w:tcMar>
            <w:vAlign w:val="center"/>
          </w:tcPr>
          <w:p>
            <w:pPr>
              <w:pStyle w:val="TableContents"/>
              <w:bidi w:val="0"/>
              <w:spacing w:before="0" w:after="283"/>
              <w:jc w:val="right"/>
              <w:rPr/>
            </w:pPr>
            <w:r>
              <w:rPr/>
              <w:t>463</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Total current liabilities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110,953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right"/>
              <w:rPr/>
            </w:pPr>
            <w:r>
              <w:rPr/>
              <w:t>100,709</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NONCURRENT LIABILITIES: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Long-term portion of operating lease liabilities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160,074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right"/>
              <w:rPr/>
            </w:pPr>
            <w:r>
              <w:rPr/>
              <w:t>162,113</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Long-term portion of finance lease liabilities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30,364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right"/>
              <w:rPr/>
            </w:pPr>
            <w:r>
              <w:rPr/>
              <w:t>30,654</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Long-term debt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tcMar>
              <w:bottom w:w="28" w:type="dxa"/>
            </w:tcMar>
            <w:vAlign w:val="center"/>
          </w:tcPr>
          <w:p>
            <w:pPr>
              <w:pStyle w:val="TableContents"/>
              <w:bidi w:val="0"/>
              <w:spacing w:before="0" w:after="283"/>
              <w:jc w:val="right"/>
              <w:rPr/>
            </w:pPr>
            <w:r>
              <w:rPr/>
              <w:t>26,000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2405" w:type="dxa"/>
            <w:tcBorders>
              <w:bottom w:val="single" w:sz="12" w:space="0" w:color="000000"/>
            </w:tcBorders>
            <w:tcMar>
              <w:bottom w:w="28" w:type="dxa"/>
            </w:tcMar>
            <w:vAlign w:val="center"/>
          </w:tcPr>
          <w:p>
            <w:pPr>
              <w:pStyle w:val="TableContents"/>
              <w:bidi w:val="0"/>
              <w:spacing w:before="0" w:after="283"/>
              <w:jc w:val="right"/>
              <w:rPr/>
            </w:pPr>
            <w:r>
              <w:rPr/>
              <w:t>                                      </w:t>
            </w:r>
            <w:r>
              <w:rPr/>
              <w:t>-</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Total liabilities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CCEEFF" w:val="clear"/>
            <w:tcMar>
              <w:bottom w:w="28" w:type="dxa"/>
            </w:tcMar>
            <w:vAlign w:val="center"/>
          </w:tcPr>
          <w:p>
            <w:pPr>
              <w:pStyle w:val="TableContents"/>
              <w:bidi w:val="0"/>
              <w:spacing w:before="0" w:after="283"/>
              <w:jc w:val="right"/>
              <w:rPr/>
            </w:pPr>
            <w:r>
              <w:rPr/>
              <w:t>327,391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05" w:type="dxa"/>
            <w:tcBorders>
              <w:bottom w:val="single" w:sz="12" w:space="0" w:color="000000"/>
            </w:tcBorders>
            <w:shd w:fill="CCEEFF" w:val="clear"/>
            <w:tcMar>
              <w:bottom w:w="28" w:type="dxa"/>
            </w:tcMar>
            <w:vAlign w:val="center"/>
          </w:tcPr>
          <w:p>
            <w:pPr>
              <w:pStyle w:val="TableContents"/>
              <w:bidi w:val="0"/>
              <w:spacing w:before="0" w:after="283"/>
              <w:jc w:val="right"/>
              <w:rPr/>
            </w:pPr>
            <w:r>
              <w:rPr/>
              <w:t>293,476</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COMMITMENTS AND CONTINGENCIES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left"/>
              <w:rPr/>
            </w:pPr>
            <w:r>
              <w:rPr/>
              <w:t> </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STOCKHOLDERS' EQUITY: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Common stock, no par value - authorized 100,000,000 shares at June 30, 2026 and December 31, 2025, issued and outstanding 31,722,150 shares at June 30, 2026 and 31,623,795 shares at December 31, 2025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48,181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right"/>
              <w:rPr/>
            </w:pPr>
            <w:r>
              <w:rPr/>
              <w:t>48,181</w:t>
            </w:r>
          </w:p>
        </w:tc>
        <w:tc>
          <w:tcPr>
            <w:tcW w:w="136"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Additional paid-in capital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48,738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right"/>
              <w:rPr/>
            </w:pPr>
            <w:r>
              <w:rPr/>
              <w:t>52,339</w:t>
            </w:r>
          </w:p>
        </w:tc>
        <w:tc>
          <w:tcPr>
            <w:tcW w:w="136" w:type="dxa"/>
            <w:tcBorders/>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Retained earnings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CCEEFF" w:val="clear"/>
            <w:tcMar>
              <w:bottom w:w="28" w:type="dxa"/>
            </w:tcMar>
            <w:vAlign w:val="center"/>
          </w:tcPr>
          <w:p>
            <w:pPr>
              <w:pStyle w:val="TableContents"/>
              <w:bidi w:val="0"/>
              <w:spacing w:before="0" w:after="283"/>
              <w:jc w:val="right"/>
              <w:rPr/>
            </w:pPr>
            <w:r>
              <w:rPr/>
              <w:t>105,470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05" w:type="dxa"/>
            <w:tcBorders>
              <w:bottom w:val="single" w:sz="12" w:space="0" w:color="000000"/>
            </w:tcBorders>
            <w:shd w:fill="CCEEFF" w:val="clear"/>
            <w:tcMar>
              <w:bottom w:w="28" w:type="dxa"/>
            </w:tcMar>
            <w:vAlign w:val="center"/>
          </w:tcPr>
          <w:p>
            <w:pPr>
              <w:pStyle w:val="TableContents"/>
              <w:bidi w:val="0"/>
              <w:spacing w:before="0" w:after="283"/>
              <w:jc w:val="right"/>
              <w:rPr/>
            </w:pPr>
            <w:r>
              <w:rPr/>
              <w:t>99,168</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0"/>
              <w:ind w:left="0" w:right="0" w:hanging="144"/>
              <w:jc w:val="left"/>
              <w:rPr/>
            </w:pPr>
            <w:r>
              <w:rPr/>
              <w:t xml:space="preserve">Total stockholders' equity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tcMar>
              <w:bottom w:w="28" w:type="dxa"/>
            </w:tcMar>
            <w:vAlign w:val="center"/>
          </w:tcPr>
          <w:p>
            <w:pPr>
              <w:pStyle w:val="TableContents"/>
              <w:bidi w:val="0"/>
              <w:spacing w:before="0" w:after="283"/>
              <w:jc w:val="right"/>
              <w:rPr/>
            </w:pPr>
            <w:r>
              <w:rPr/>
              <w:t>202,389</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2405" w:type="dxa"/>
            <w:tcBorders>
              <w:bottom w:val="single" w:sz="12" w:space="0" w:color="000000"/>
            </w:tcBorders>
            <w:tcMar>
              <w:bottom w:w="28" w:type="dxa"/>
            </w:tcMar>
            <w:vAlign w:val="center"/>
          </w:tcPr>
          <w:p>
            <w:pPr>
              <w:pStyle w:val="TableContents"/>
              <w:bidi w:val="0"/>
              <w:spacing w:before="0" w:after="283"/>
              <w:jc w:val="right"/>
              <w:rPr/>
            </w:pPr>
            <w:r>
              <w:rPr/>
              <w:t>199,688</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0"/>
              <w:ind w:left="0" w:right="0" w:hanging="144"/>
              <w:jc w:val="left"/>
              <w:rPr/>
            </w:pPr>
            <w:r>
              <w:rPr/>
              <w:t xml:space="preserve">TOTAL LIABILITIES AND STOCKHOLDERS' EQUITY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61" w:type="dxa"/>
            <w:tcBorders>
              <w:bottom w:val="double" w:sz="8" w:space="0" w:color="000000"/>
            </w:tcBorders>
            <w:shd w:fill="CCEEFF" w:val="clear"/>
            <w:tcMar>
              <w:bottom w:w="28" w:type="dxa"/>
            </w:tcMar>
            <w:vAlign w:val="center"/>
          </w:tcPr>
          <w:p>
            <w:pPr>
              <w:pStyle w:val="TableContents"/>
              <w:bidi w:val="0"/>
              <w:spacing w:before="0" w:after="283"/>
              <w:jc w:val="right"/>
              <w:rPr/>
            </w:pPr>
            <w:r>
              <w:rPr/>
              <w:t>529,780</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2405" w:type="dxa"/>
            <w:tcBorders>
              <w:bottom w:val="double" w:sz="8" w:space="0" w:color="000000"/>
            </w:tcBorders>
            <w:shd w:fill="CCEEFF" w:val="clear"/>
            <w:tcMar>
              <w:bottom w:w="28" w:type="dxa"/>
            </w:tcMar>
            <w:vAlign w:val="center"/>
          </w:tcPr>
          <w:p>
            <w:pPr>
              <w:pStyle w:val="TableContents"/>
              <w:bidi w:val="0"/>
              <w:spacing w:before="0" w:after="283"/>
              <w:jc w:val="right"/>
              <w:rPr/>
            </w:pPr>
            <w:r>
              <w:rPr/>
              <w:t>493,164</w:t>
            </w:r>
          </w:p>
        </w:tc>
        <w:tc>
          <w:tcPr>
            <w:tcW w:w="13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See Notes to Condensed Consolidated Financial Statements (Unaudited).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color w:val="000000"/>
          <w:sz w:val="20"/>
        </w:rPr>
        <w:t>LINCOLN EDUCATIONAL SERVICES CORPORATION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8" w:name="STATEMENTS_OF_OPERATIONS"/>
      <w:bookmarkEnd w:id="8"/>
      <w:r>
        <w:rPr>
          <w:rFonts w:ascii="Times New Roman" w:hAnsi="Times New Roman"/>
          <w:b/>
          <w:color w:val="000000"/>
          <w:sz w:val="20"/>
        </w:rPr>
        <w:t>CONDENSED 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5060"/>
        <w:gridCol w:w="90"/>
        <w:gridCol w:w="170"/>
        <w:gridCol w:w="830"/>
        <w:gridCol w:w="185"/>
        <w:gridCol w:w="90"/>
        <w:gridCol w:w="170"/>
        <w:gridCol w:w="830"/>
        <w:gridCol w:w="185"/>
        <w:gridCol w:w="90"/>
        <w:gridCol w:w="170"/>
        <w:gridCol w:w="830"/>
        <w:gridCol w:w="185"/>
        <w:gridCol w:w="90"/>
        <w:gridCol w:w="170"/>
        <w:gridCol w:w="830"/>
        <w:gridCol w:w="230"/>
      </w:tblGrid>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2550" w:type="dxa"/>
            <w:gridSpan w:val="8"/>
            <w:tcBorders/>
            <w:vAlign w:val="center"/>
          </w:tcPr>
          <w:p>
            <w:pPr>
              <w:pStyle w:val="TableContents"/>
              <w:bidi w:val="0"/>
              <w:spacing w:before="0" w:after="283"/>
              <w:jc w:val="center"/>
              <w:rPr>
                <w:b/>
              </w:rPr>
            </w:pPr>
            <w:r>
              <w:rPr>
                <w:b/>
              </w:rPr>
              <w:t xml:space="preserve">Three Months Ended </w:t>
            </w:r>
          </w:p>
        </w:tc>
        <w:tc>
          <w:tcPr>
            <w:tcW w:w="2595" w:type="dxa"/>
            <w:gridSpan w:val="8"/>
            <w:tcBorders/>
            <w:vAlign w:val="center"/>
          </w:tcPr>
          <w:p>
            <w:pPr>
              <w:pStyle w:val="TableContents"/>
              <w:bidi w:val="0"/>
              <w:spacing w:before="0" w:after="283"/>
              <w:jc w:val="center"/>
              <w:rPr>
                <w:b/>
              </w:rPr>
            </w:pPr>
            <w:r>
              <w:rPr>
                <w:b/>
              </w:rPr>
              <w:t xml:space="preserve">Six Months Ended </w:t>
            </w:r>
          </w:p>
        </w:tc>
      </w:tr>
      <w:tr>
        <w:trPr/>
        <w:tc>
          <w:tcPr>
            <w:tcW w:w="5060" w:type="dxa"/>
            <w:tcBorders/>
            <w:vAlign w:val="center"/>
          </w:tcPr>
          <w:p>
            <w:pPr>
              <w:pStyle w:val="TableContents"/>
              <w:bidi w:val="0"/>
              <w:spacing w:before="0" w:after="283"/>
              <w:jc w:val="left"/>
              <w:rPr/>
            </w:pPr>
            <w:r>
              <w:rPr/>
              <w:t> </w:t>
            </w:r>
          </w:p>
        </w:tc>
        <w:tc>
          <w:tcPr>
            <w:tcW w:w="2550" w:type="dxa"/>
            <w:gridSpan w:val="8"/>
            <w:tcBorders/>
            <w:vAlign w:val="center"/>
          </w:tcPr>
          <w:p>
            <w:pPr>
              <w:pStyle w:val="TableContents"/>
              <w:bidi w:val="0"/>
              <w:spacing w:before="0" w:after="283"/>
              <w:jc w:val="center"/>
              <w:rPr>
                <w:b/>
              </w:rPr>
            </w:pPr>
            <w:r>
              <w:rPr>
                <w:b/>
              </w:rPr>
              <w:t xml:space="preserve">June 30, </w:t>
            </w:r>
          </w:p>
        </w:tc>
        <w:tc>
          <w:tcPr>
            <w:tcW w:w="2595" w:type="dxa"/>
            <w:gridSpan w:val="8"/>
            <w:tcBorders/>
            <w:vAlign w:val="center"/>
          </w:tcPr>
          <w:p>
            <w:pPr>
              <w:pStyle w:val="TableContents"/>
              <w:bidi w:val="0"/>
              <w:spacing w:before="0" w:after="283"/>
              <w:jc w:val="center"/>
              <w:rPr>
                <w:b/>
              </w:rPr>
            </w:pPr>
            <w:r>
              <w:rPr>
                <w:b/>
              </w:rPr>
              <w:t xml:space="preserve">June 30, </w:t>
            </w:r>
          </w:p>
        </w:tc>
      </w:tr>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0" w:type="dxa"/>
            <w:tcBorders/>
            <w:vAlign w:val="center"/>
          </w:tcPr>
          <w:p>
            <w:pPr>
              <w:pStyle w:val="TableContents"/>
              <w:bidi w:val="0"/>
              <w:spacing w:before="0" w:after="283"/>
              <w:jc w:val="center"/>
              <w:rPr/>
            </w:pPr>
            <w:r>
              <w:rPr/>
              <w:t> </w:t>
            </w:r>
          </w:p>
        </w:tc>
      </w:tr>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144"/>
              <w:jc w:val="left"/>
              <w:rPr/>
            </w:pPr>
            <w:r>
              <w:rPr/>
              <w:t xml:space="preserve">REVENUE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142,560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116,474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286,518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233,980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ind w:left="0" w:right="0" w:hanging="144"/>
              <w:jc w:val="left"/>
              <w:rPr/>
            </w:pPr>
            <w:r>
              <w:rPr/>
              <w:t xml:space="preserve">COSTS AND EXPENSES: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144"/>
              <w:jc w:val="left"/>
              <w:rPr/>
            </w:pPr>
            <w:r>
              <w:rPr/>
              <w:t xml:space="preserve">Educational services and facilities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59,632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46,791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118,025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94,199</w:t>
            </w:r>
          </w:p>
        </w:tc>
        <w:tc>
          <w:tcPr>
            <w:tcW w:w="23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ind w:left="0" w:right="0" w:hanging="144"/>
              <w:jc w:val="left"/>
              <w:rPr/>
            </w:pPr>
            <w:r>
              <w:rPr/>
              <w:t xml:space="preserve">Selling, general and administrative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79,649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67,061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158,801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133,965</w:t>
            </w:r>
          </w:p>
        </w:tc>
        <w:tc>
          <w:tcPr>
            <w:tcW w:w="23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144"/>
              <w:jc w:val="left"/>
              <w:rPr/>
            </w:pPr>
            <w:r>
              <w:rPr/>
              <w:t xml:space="preserve">Gain on sale of assets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(256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(476</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pPr>
            <w:r>
              <w:rPr/>
              <w:t xml:space="preserve">Total costs and expenses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139,248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113,596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276,799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227,688</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144"/>
              <w:jc w:val="left"/>
              <w:rPr/>
            </w:pPr>
            <w:r>
              <w:rPr/>
              <w:t xml:space="preserve">OPERATING INCOME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3,312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2,878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9,719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6,292</w:t>
            </w:r>
          </w:p>
        </w:tc>
        <w:tc>
          <w:tcPr>
            <w:tcW w:w="23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ind w:left="0" w:right="0" w:hanging="144"/>
              <w:jc w:val="left"/>
              <w:rPr/>
            </w:pPr>
            <w:r>
              <w:rPr/>
              <w:t xml:space="preserve">OTHER: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144"/>
              <w:jc w:val="left"/>
              <w:rPr/>
            </w:pPr>
            <w:r>
              <w:rPr/>
              <w:t xml:space="preserve">Interest income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125</w:t>
            </w:r>
          </w:p>
        </w:tc>
        <w:tc>
          <w:tcPr>
            <w:tcW w:w="23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ind w:left="0" w:right="0" w:hanging="144"/>
              <w:jc w:val="left"/>
              <w:rPr/>
            </w:pPr>
            <w:r>
              <w:rPr/>
              <w:t xml:space="preserve">Interest expense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(1,058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(813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(1,895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(1,514</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144"/>
              <w:jc w:val="left"/>
              <w:rPr/>
            </w:pPr>
            <w:r>
              <w:rPr/>
              <w:t xml:space="preserve">INCOME BEFORE INCOME TAXES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2,076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7,861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4,903</w:t>
            </w:r>
          </w:p>
        </w:tc>
        <w:tc>
          <w:tcPr>
            <w:tcW w:w="23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ind w:left="0" w:right="0" w:hanging="144"/>
              <w:jc w:val="left"/>
              <w:rPr/>
            </w:pPr>
            <w:r>
              <w:rPr/>
              <w:t xml:space="preserve">PROVISION FOR INCOME TAXES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315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522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1,559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1,404</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1,946</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1,554</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6,302</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3,499</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ind w:left="0" w:right="0" w:hanging="144"/>
              <w:jc w:val="left"/>
              <w:rPr/>
            </w:pPr>
            <w:r>
              <w:rPr/>
              <w:t xml:space="preserve">Basic </w:t>
            </w:r>
          </w:p>
        </w:tc>
        <w:tc>
          <w:tcPr>
            <w:tcW w:w="90" w:type="dxa"/>
            <w:tcBorders/>
            <w:vAlign w:val="center"/>
          </w:tcPr>
          <w:p>
            <w:pPr>
              <w:pStyle w:val="TableContents"/>
              <w:bidi w:val="0"/>
              <w:spacing w:before="0" w:after="283"/>
              <w:jc w:val="left"/>
              <w:rPr/>
            </w:pPr>
            <w:r>
              <w:rPr/>
              <w:t> </w:t>
            </w:r>
          </w:p>
        </w:tc>
        <w:tc>
          <w:tcPr>
            <w:tcW w:w="170" w:type="dxa"/>
            <w:tcBorders>
              <w:top w:val="double" w:sz="6" w:space="0" w:color="000000"/>
            </w:tcBorders>
            <w:tcMar>
              <w:top w:w="28" w:type="dxa"/>
            </w:tcMar>
            <w:vAlign w:val="center"/>
          </w:tcPr>
          <w:p>
            <w:pPr>
              <w:pStyle w:val="TableContents"/>
              <w:bidi w:val="0"/>
              <w:spacing w:before="0" w:after="283"/>
              <w:jc w:val="left"/>
              <w:rPr/>
            </w:pPr>
            <w:r>
              <w:rPr/>
              <w:t> </w:t>
            </w:r>
          </w:p>
        </w:tc>
        <w:tc>
          <w:tcPr>
            <w:tcW w:w="830" w:type="dxa"/>
            <w:tcBorders>
              <w:top w:val="double" w:sz="6" w:space="0" w:color="000000"/>
            </w:tcBorders>
            <w:tcMar>
              <w:top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top w:val="double" w:sz="6" w:space="0" w:color="000000"/>
            </w:tcBorders>
            <w:tcMar>
              <w:top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double" w:sz="6" w:space="0" w:color="000000"/>
            </w:tcBorders>
            <w:tcMar>
              <w:top w:w="28" w:type="dxa"/>
            </w:tcMar>
            <w:vAlign w:val="center"/>
          </w:tcPr>
          <w:p>
            <w:pPr>
              <w:pStyle w:val="TableContents"/>
              <w:bidi w:val="0"/>
              <w:spacing w:before="0" w:after="283"/>
              <w:jc w:val="left"/>
              <w:rPr/>
            </w:pPr>
            <w:r>
              <w:rPr/>
              <w:t> </w:t>
            </w:r>
          </w:p>
        </w:tc>
        <w:tc>
          <w:tcPr>
            <w:tcW w:w="830" w:type="dxa"/>
            <w:tcBorders>
              <w:top w:val="double" w:sz="6" w:space="0" w:color="000000"/>
            </w:tcBorders>
            <w:tcMar>
              <w:top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double" w:sz="6" w:space="0" w:color="000000"/>
            </w:tcBorders>
            <w:tcMar>
              <w:top w:w="28" w:type="dxa"/>
            </w:tcMar>
            <w:vAlign w:val="center"/>
          </w:tcPr>
          <w:p>
            <w:pPr>
              <w:pStyle w:val="TableContents"/>
              <w:bidi w:val="0"/>
              <w:spacing w:before="0" w:after="283"/>
              <w:jc w:val="left"/>
              <w:rPr/>
            </w:pPr>
            <w:r>
              <w:rPr/>
              <w:t> </w:t>
            </w:r>
          </w:p>
        </w:tc>
        <w:tc>
          <w:tcPr>
            <w:tcW w:w="830" w:type="dxa"/>
            <w:tcBorders>
              <w:top w:val="double" w:sz="6" w:space="0" w:color="000000"/>
            </w:tcBorders>
            <w:tcMar>
              <w:top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144"/>
              <w:jc w:val="left"/>
              <w:rPr/>
            </w:pPr>
            <w:r>
              <w:rPr/>
              <w:t xml:space="preserve">Net income per common share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0.06</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0.05</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0.20</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0.11</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ind w:left="0" w:right="0" w:hanging="144"/>
              <w:jc w:val="left"/>
              <w:rPr/>
            </w:pPr>
            <w:r>
              <w:rPr/>
              <w:t xml:space="preserve">Diluted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144"/>
              <w:jc w:val="left"/>
              <w:rPr/>
            </w:pPr>
            <w:r>
              <w:rPr/>
              <w:t xml:space="preserve">Net income per common share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0.06</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0.05</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0.20</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0.11</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ind w:left="0" w:right="0" w:hanging="144"/>
              <w:jc w:val="left"/>
              <w:rPr/>
            </w:pPr>
            <w:r>
              <w:rPr/>
              <w:t xml:space="preserve">Weighted average number of common shares outstanding: </w:t>
            </w:r>
          </w:p>
        </w:tc>
        <w:tc>
          <w:tcPr>
            <w:tcW w:w="90" w:type="dxa"/>
            <w:tcBorders/>
            <w:vAlign w:val="center"/>
          </w:tcPr>
          <w:p>
            <w:pPr>
              <w:pStyle w:val="TableContents"/>
              <w:bidi w:val="0"/>
              <w:spacing w:before="0" w:after="283"/>
              <w:jc w:val="left"/>
              <w:rPr/>
            </w:pPr>
            <w:r>
              <w:rPr/>
              <w:t> </w:t>
            </w:r>
          </w:p>
        </w:tc>
        <w:tc>
          <w:tcPr>
            <w:tcW w:w="170" w:type="dxa"/>
            <w:tcBorders>
              <w:top w:val="double" w:sz="6" w:space="0" w:color="000000"/>
            </w:tcBorders>
            <w:tcMar>
              <w:top w:w="28" w:type="dxa"/>
            </w:tcMar>
            <w:vAlign w:val="center"/>
          </w:tcPr>
          <w:p>
            <w:pPr>
              <w:pStyle w:val="TableContents"/>
              <w:bidi w:val="0"/>
              <w:spacing w:before="0" w:after="283"/>
              <w:jc w:val="left"/>
              <w:rPr/>
            </w:pPr>
            <w:r>
              <w:rPr/>
              <w:t> </w:t>
            </w:r>
          </w:p>
        </w:tc>
        <w:tc>
          <w:tcPr>
            <w:tcW w:w="830" w:type="dxa"/>
            <w:tcBorders>
              <w:top w:val="double" w:sz="6" w:space="0" w:color="000000"/>
            </w:tcBorders>
            <w:tcMar>
              <w:top w:w="28" w:type="dxa"/>
            </w:tcMar>
            <w:vAlign w:val="center"/>
          </w:tcPr>
          <w:p>
            <w:pPr>
              <w:pStyle w:val="TableContents"/>
              <w:bidi w:val="0"/>
              <w:spacing w:before="0" w:after="283"/>
              <w:jc w:val="left"/>
              <w:rPr/>
            </w:pPr>
            <w:r>
              <w:rPr/>
              <w:t> </w:t>
            </w:r>
          </w:p>
        </w:tc>
        <w:tc>
          <w:tcPr>
            <w:tcW w:w="185" w:type="dxa"/>
            <w:tcBorders>
              <w:top w:val="double" w:sz="6"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double" w:sz="6" w:space="0" w:color="000000"/>
            </w:tcBorders>
            <w:tcMar>
              <w:top w:w="28" w:type="dxa"/>
            </w:tcMar>
            <w:vAlign w:val="center"/>
          </w:tcPr>
          <w:p>
            <w:pPr>
              <w:pStyle w:val="TableContents"/>
              <w:bidi w:val="0"/>
              <w:spacing w:before="0" w:after="283"/>
              <w:jc w:val="left"/>
              <w:rPr/>
            </w:pPr>
            <w:r>
              <w:rPr/>
              <w:t> </w:t>
            </w:r>
          </w:p>
        </w:tc>
        <w:tc>
          <w:tcPr>
            <w:tcW w:w="830" w:type="dxa"/>
            <w:tcBorders>
              <w:top w:val="double" w:sz="6" w:space="0" w:color="000000"/>
            </w:tcBorders>
            <w:tcMar>
              <w:top w:w="28" w:type="dxa"/>
            </w:tcMar>
            <w:vAlign w:val="center"/>
          </w:tcPr>
          <w:p>
            <w:pPr>
              <w:pStyle w:val="TableContents"/>
              <w:bidi w:val="0"/>
              <w:spacing w:before="0" w:after="283"/>
              <w:jc w:val="left"/>
              <w:rPr/>
            </w:pPr>
            <w:r>
              <w:rPr/>
              <w:t> </w:t>
            </w:r>
          </w:p>
        </w:tc>
        <w:tc>
          <w:tcPr>
            <w:tcW w:w="185" w:type="dxa"/>
            <w:tcBorders>
              <w:top w:val="double" w:sz="6"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double" w:sz="6" w:space="0" w:color="000000"/>
            </w:tcBorders>
            <w:tcMar>
              <w:top w:w="28" w:type="dxa"/>
            </w:tcMar>
            <w:vAlign w:val="center"/>
          </w:tcPr>
          <w:p>
            <w:pPr>
              <w:pStyle w:val="TableContents"/>
              <w:bidi w:val="0"/>
              <w:spacing w:before="0" w:after="283"/>
              <w:jc w:val="left"/>
              <w:rPr/>
            </w:pPr>
            <w:r>
              <w:rPr/>
              <w:t> </w:t>
            </w:r>
          </w:p>
        </w:tc>
        <w:tc>
          <w:tcPr>
            <w:tcW w:w="830" w:type="dxa"/>
            <w:tcBorders>
              <w:top w:val="double" w:sz="6" w:space="0" w:color="000000"/>
            </w:tcBorders>
            <w:tcMar>
              <w:top w:w="28" w:type="dxa"/>
            </w:tcMar>
            <w:vAlign w:val="center"/>
          </w:tcPr>
          <w:p>
            <w:pPr>
              <w:pStyle w:val="TableContents"/>
              <w:bidi w:val="0"/>
              <w:spacing w:before="0" w:after="283"/>
              <w:jc w:val="left"/>
              <w:rPr/>
            </w:pPr>
            <w:r>
              <w:rPr/>
              <w:t> </w:t>
            </w:r>
          </w:p>
        </w:tc>
        <w:tc>
          <w:tcPr>
            <w:tcW w:w="185" w:type="dxa"/>
            <w:tcBorders>
              <w:top w:val="double" w:sz="6"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double" w:sz="6" w:space="0" w:color="000000"/>
            </w:tcBorders>
            <w:tcMar>
              <w:top w:w="28" w:type="dxa"/>
            </w:tcMar>
            <w:vAlign w:val="center"/>
          </w:tcPr>
          <w:p>
            <w:pPr>
              <w:pStyle w:val="TableContents"/>
              <w:bidi w:val="0"/>
              <w:spacing w:before="0" w:after="283"/>
              <w:jc w:val="left"/>
              <w:rPr/>
            </w:pPr>
            <w:r>
              <w:rPr/>
              <w:t> </w:t>
            </w:r>
          </w:p>
        </w:tc>
        <w:tc>
          <w:tcPr>
            <w:tcW w:w="830" w:type="dxa"/>
            <w:tcBorders>
              <w:top w:val="double" w:sz="6" w:space="0" w:color="000000"/>
            </w:tcBorders>
            <w:tcMar>
              <w:top w:w="28" w:type="dxa"/>
            </w:tcMar>
            <w:vAlign w:val="center"/>
          </w:tcPr>
          <w:p>
            <w:pPr>
              <w:pStyle w:val="TableContents"/>
              <w:bidi w:val="0"/>
              <w:spacing w:before="0" w:after="283"/>
              <w:jc w:val="left"/>
              <w:rPr/>
            </w:pPr>
            <w:r>
              <w:rPr/>
              <w:t> </w:t>
            </w:r>
          </w:p>
        </w:tc>
        <w:tc>
          <w:tcPr>
            <w:tcW w:w="230" w:type="dxa"/>
            <w:tcBorders>
              <w:top w:val="double" w:sz="6" w:space="0" w:color="000000"/>
            </w:tcBorders>
            <w:tcMar>
              <w:top w:w="28" w:type="dxa"/>
            </w:tcM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144"/>
              <w:jc w:val="left"/>
              <w:rPr/>
            </w:pPr>
            <w:r>
              <w:rPr/>
              <w:t xml:space="preserve">Basic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31,258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30,990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31,194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30,900</w:t>
            </w:r>
          </w:p>
        </w:tc>
        <w:tc>
          <w:tcPr>
            <w:tcW w:w="23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ind w:left="0" w:right="0" w:hanging="144"/>
              <w:jc w:val="left"/>
              <w:rPr/>
            </w:pPr>
            <w:r>
              <w:rPr/>
              <w:t xml:space="preserve">Diluted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31,419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31,271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31,375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31,172</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See Notes to Condensed Consolidated Financial Statements (Unaudited).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LINCOLN EDUCATIONAL SERVICES CORPORATION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9" w:name="CHANGES_IN_STOCKHOLDERS_EQUITY"/>
      <w:bookmarkEnd w:id="9"/>
      <w:r>
        <w:rPr>
          <w:rFonts w:ascii="Times New Roman" w:hAnsi="Times New Roman"/>
          <w:b/>
          <w:sz w:val="20"/>
        </w:rPr>
        <w:t>CONDENSED CONSOLIDATED STATEMENTS OF CHANGES IN STOCKHOLDERS’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(In thousands, except share amounts)</w:t>
      </w:r>
      <w:r>
        <w:rPr>
          <w:rFonts w:ascii="Times New Roman" w:hAnsi="Times New Roman"/>
          <w:sz w:val="20"/>
        </w:rPr>
        <w:t xml:space="preserve"> </w:t>
      </w:r>
    </w:p>
    <w:p>
      <w:pPr>
        <w:pStyle w:val="TextBody"/>
        <w:bidi w:val="0"/>
        <w:spacing w:before="0" w:after="0"/>
        <w:jc w:val="center"/>
        <w:rPr/>
      </w:pPr>
      <w:r>
        <w:rPr/>
        <w:t> </w:t>
      </w:r>
      <w:r>
        <w:rPr>
          <w:rFonts w:ascii="Times New Roman" w:hAnsi="Times New Roman"/>
          <w:b/>
          <w:sz w:val="20"/>
        </w:rPr>
        <w:t>(Unaudited)</w:t>
      </w:r>
      <w:r>
        <w:rPr>
          <w:rFonts w:ascii="Times New Roman" w:hAnsi="Times New Roman"/>
          <w:sz w:val="20"/>
        </w:rPr>
        <w:t xml:space="preserve"> </w:t>
      </w:r>
    </w:p>
    <w:p>
      <w:pPr>
        <w:pStyle w:val="TextBody"/>
        <w:bidi w:val="0"/>
        <w:spacing w:before="0" w:after="0"/>
        <w:jc w:val="left"/>
        <w:rPr/>
      </w:pPr>
      <w:r>
        <w:rPr/>
        <w:t xml:space="preserve">  </w:t>
      </w:r>
    </w:p>
    <w:tbl>
      <w:tblPr>
        <w:tblW w:w="10320" w:type="dxa"/>
        <w:jc w:val="left"/>
        <w:tblInd w:w="0" w:type="dxa"/>
        <w:tblLayout w:type="fixed"/>
        <w:tblCellMar>
          <w:top w:w="0" w:type="dxa"/>
          <w:left w:w="0" w:type="dxa"/>
          <w:bottom w:w="0" w:type="dxa"/>
          <w:right w:w="0" w:type="dxa"/>
        </w:tblCellMar>
      </w:tblPr>
      <w:tblGrid>
        <w:gridCol w:w="1370"/>
        <w:gridCol w:w="90"/>
        <w:gridCol w:w="90"/>
        <w:gridCol w:w="1130"/>
        <w:gridCol w:w="185"/>
        <w:gridCol w:w="90"/>
        <w:gridCol w:w="170"/>
        <w:gridCol w:w="890"/>
        <w:gridCol w:w="90"/>
        <w:gridCol w:w="90"/>
        <w:gridCol w:w="170"/>
        <w:gridCol w:w="1130"/>
        <w:gridCol w:w="185"/>
        <w:gridCol w:w="90"/>
        <w:gridCol w:w="170"/>
        <w:gridCol w:w="980"/>
        <w:gridCol w:w="90"/>
        <w:gridCol w:w="90"/>
        <w:gridCol w:w="170"/>
        <w:gridCol w:w="1640"/>
        <w:gridCol w:w="90"/>
        <w:gridCol w:w="90"/>
        <w:gridCol w:w="170"/>
        <w:gridCol w:w="830"/>
        <w:gridCol w:w="230"/>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540" w:type="dxa"/>
            <w:gridSpan w:val="21"/>
            <w:tcBorders>
              <w:bottom w:val="single" w:sz="12" w:space="0" w:color="000000"/>
            </w:tcBorders>
            <w:tcMar>
              <w:bottom w:w="28" w:type="dxa"/>
            </w:tcMar>
            <w:vAlign w:val="center"/>
          </w:tcPr>
          <w:p>
            <w:pPr>
              <w:pStyle w:val="TableContents"/>
              <w:bidi w:val="0"/>
              <w:spacing w:before="0" w:after="283"/>
              <w:jc w:val="center"/>
              <w:rPr/>
            </w:pPr>
            <w:r>
              <w:rPr>
                <w:b/>
                <w:spacing w:val="0"/>
              </w:rPr>
              <w:t>Stockholders' Equity</w:t>
            </w:r>
            <w:r>
              <w:rPr/>
              <w:t xml:space="preserve"> </w:t>
            </w:r>
          </w:p>
        </w:tc>
        <w:tc>
          <w:tcPr>
            <w:tcW w:w="230" w:type="dxa"/>
            <w:tcBorders/>
            <w:vAlign w:val="center"/>
          </w:tcPr>
          <w:p>
            <w:pPr>
              <w:pStyle w:val="TableContents"/>
              <w:bidi w:val="0"/>
              <w:spacing w:before="0" w:after="283"/>
              <w:jc w:val="center"/>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center"/>
              <w:rPr/>
            </w:pPr>
            <w:r>
              <w:rPr>
                <w:b/>
              </w:rPr>
              <w:t>Accumulated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30"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b/>
              </w:rPr>
              <w:t>Additional</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center"/>
              <w:rPr/>
            </w:pPr>
            <w:r>
              <w:rPr>
                <w:b/>
              </w:rPr>
              <w:t>Other</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2735" w:type="dxa"/>
            <w:gridSpan w:val="8"/>
            <w:tcBorders/>
            <w:vAlign w:val="center"/>
          </w:tcPr>
          <w:p>
            <w:pPr>
              <w:pStyle w:val="TableContents"/>
              <w:bidi w:val="0"/>
              <w:spacing w:before="0" w:after="283"/>
              <w:jc w:val="center"/>
              <w:rPr/>
            </w:pPr>
            <w:r>
              <w:rPr>
                <w:b/>
              </w:rPr>
              <w:t>Common Stock</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b/>
              </w:rPr>
              <w:t>Paid-in</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b/>
              </w:rPr>
              <w:t>Retained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center"/>
              <w:rPr/>
            </w:pPr>
            <w:r>
              <w:rPr>
                <w:b/>
              </w:rPr>
              <w:t>Comprehensive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12"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Capital</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12" w:space="0" w:color="000000"/>
            </w:tcBorders>
            <w:tcMar>
              <w:bottom w:w="28" w:type="dxa"/>
            </w:tcMar>
            <w:vAlign w:val="center"/>
          </w:tcPr>
          <w:p>
            <w:pPr>
              <w:pStyle w:val="TableContents"/>
              <w:bidi w:val="0"/>
              <w:spacing w:before="0" w:after="283"/>
              <w:jc w:val="center"/>
              <w:rPr/>
            </w:pPr>
            <w:r>
              <w:rPr>
                <w:b/>
              </w:rPr>
              <w:t>Earnings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40" w:type="dxa"/>
            <w:tcBorders>
              <w:bottom w:val="single" w:sz="12" w:space="0" w:color="000000"/>
            </w:tcBorders>
            <w:tcMar>
              <w:bottom w:w="28" w:type="dxa"/>
            </w:tcMar>
            <w:vAlign w:val="center"/>
          </w:tcPr>
          <w:p>
            <w:pPr>
              <w:pStyle w:val="TableContents"/>
              <w:bidi w:val="0"/>
              <w:spacing w:before="0" w:after="283"/>
              <w:jc w:val="center"/>
              <w:rPr/>
            </w:pPr>
            <w:r>
              <w:rPr>
                <w:b/>
              </w:rPr>
              <w:t>Income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0" w:type="dxa"/>
            <w:tcBorders/>
            <w:vAlign w:val="center"/>
          </w:tcPr>
          <w:p>
            <w:pPr>
              <w:pStyle w:val="TableContents"/>
              <w:bidi w:val="0"/>
              <w:spacing w:before="0" w:after="283"/>
              <w:jc w:val="center"/>
              <w:rPr/>
            </w:pPr>
            <w:r>
              <w:rPr/>
              <w:t> </w:t>
            </w:r>
          </w:p>
        </w:tc>
      </w:tr>
      <w:tr>
        <w:trPr/>
        <w:tc>
          <w:tcPr>
            <w:tcW w:w="1370" w:type="dxa"/>
            <w:tcBorders/>
            <w:shd w:fill="CCEEFF" w:val="clear"/>
            <w:vAlign w:val="center"/>
          </w:tcPr>
          <w:p>
            <w:pPr>
              <w:pStyle w:val="TableContents"/>
              <w:bidi w:val="0"/>
              <w:spacing w:before="0" w:after="0"/>
              <w:jc w:val="left"/>
              <w:rPr/>
            </w:pPr>
            <w:r>
              <w:rPr/>
              <w:t xml:space="preserve">BALANCE - January 1, 2026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31,623,795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48,181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52,339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99,168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199,688</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Net income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90" w:type="dxa"/>
            <w:tcBorders/>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980" w:type="dxa"/>
            <w:tcBorders/>
            <w:vAlign w:val="center"/>
          </w:tcPr>
          <w:p>
            <w:pPr>
              <w:pStyle w:val="TableContents"/>
              <w:bidi w:val="0"/>
              <w:spacing w:before="0" w:after="283"/>
              <w:jc w:val="right"/>
              <w:rPr/>
            </w:pPr>
            <w:r>
              <w:rPr/>
              <w:t>4,356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640" w:type="dxa"/>
            <w:tcBorders/>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4,356</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pPr>
            <w:r>
              <w:rPr/>
              <w:t xml:space="preserve">Stock-based compensation expense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Restricted stock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258,292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90" w:type="dxa"/>
            <w:tcBorders/>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1,444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980" w:type="dxa"/>
            <w:tcBorders/>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640" w:type="dxa"/>
            <w:tcBorders/>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1,444</w:t>
            </w:r>
          </w:p>
        </w:tc>
        <w:tc>
          <w:tcPr>
            <w:tcW w:w="230" w:type="dxa"/>
            <w:tcBorders/>
            <w:vAlign w:val="center"/>
          </w:tcPr>
          <w:p>
            <w:pPr>
              <w:pStyle w:val="TableContents"/>
              <w:bidi w:val="0"/>
              <w:spacing w:before="0" w:after="283"/>
              <w:ind w:left="0" w:right="0" w:hanging="150"/>
              <w:jc w:val="left"/>
              <w:rPr/>
            </w:pPr>
            <w:r>
              <w:rPr/>
              <w:t> </w:t>
            </w:r>
          </w:p>
        </w:tc>
      </w:tr>
      <w:tr>
        <w:trPr/>
        <w:tc>
          <w:tcPr>
            <w:tcW w:w="1370" w:type="dxa"/>
            <w:tcBorders/>
            <w:shd w:fill="CCEEFF" w:val="clear"/>
            <w:vAlign w:val="center"/>
          </w:tcPr>
          <w:p>
            <w:pPr>
              <w:pStyle w:val="TableContents"/>
              <w:bidi w:val="0"/>
              <w:spacing w:before="0" w:after="0"/>
              <w:jc w:val="left"/>
              <w:rPr/>
            </w:pPr>
            <w:r>
              <w:rPr/>
              <w:t xml:space="preserve">Net share settlement for equity-based compensation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(184,834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(6,660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6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(6,660</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BALANCE - March 31, 2026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31,697,253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90" w:type="dxa"/>
            <w:tcBorders>
              <w:bottom w:val="single" w:sz="12" w:space="0" w:color="000000"/>
            </w:tcBorders>
            <w:tcMar>
              <w:bottom w:w="28" w:type="dxa"/>
            </w:tcMar>
            <w:vAlign w:val="center"/>
          </w:tcPr>
          <w:p>
            <w:pPr>
              <w:pStyle w:val="TableContents"/>
              <w:bidi w:val="0"/>
              <w:spacing w:before="0" w:after="283"/>
              <w:jc w:val="right"/>
              <w:rPr/>
            </w:pPr>
            <w:r>
              <w:rPr/>
              <w:t>48,181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47,123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103,524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640"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198,828</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pPr>
            <w:r>
              <w:rPr/>
              <w:t xml:space="preserve">Net income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90" w:type="dxa"/>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980" w:type="dxa"/>
            <w:tcBorders/>
            <w:shd w:fill="CCEEFF" w:val="clear"/>
            <w:vAlign w:val="center"/>
          </w:tcPr>
          <w:p>
            <w:pPr>
              <w:pStyle w:val="TableContents"/>
              <w:bidi w:val="0"/>
              <w:spacing w:before="0" w:after="283"/>
              <w:jc w:val="right"/>
              <w:rPr/>
            </w:pPr>
            <w:r>
              <w:rPr/>
              <w:t>1,946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640" w:type="dxa"/>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1,946</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Stock-based compensation expense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pPr>
            <w:r>
              <w:rPr/>
              <w:t xml:space="preserve">Restricted stock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25,029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90" w:type="dxa"/>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1,615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980" w:type="dxa"/>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640" w:type="dxa"/>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1,615</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Net share settlement for equity-based compensation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(132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90"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640"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pPr>
            <w:r>
              <w:rPr/>
              <w:t xml:space="preserve">BALANCE - June 30, 2026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31,722,150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8" w:space="0" w:color="000000"/>
            </w:tcBorders>
            <w:shd w:fill="CCEEFF" w:val="clear"/>
            <w:tcMar>
              <w:bottom w:w="28" w:type="dxa"/>
            </w:tcMar>
            <w:vAlign w:val="center"/>
          </w:tcPr>
          <w:p>
            <w:pPr>
              <w:pStyle w:val="TableContents"/>
              <w:bidi w:val="0"/>
              <w:spacing w:before="0" w:after="283"/>
              <w:jc w:val="right"/>
              <w:rPr/>
            </w:pPr>
            <w:r>
              <w:rPr/>
              <w:t>48,181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48,738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8" w:space="0" w:color="000000"/>
            </w:tcBorders>
            <w:shd w:fill="CCEEFF" w:val="clear"/>
            <w:tcMar>
              <w:bottom w:w="28" w:type="dxa"/>
            </w:tcMar>
            <w:vAlign w:val="center"/>
          </w:tcPr>
          <w:p>
            <w:pPr>
              <w:pStyle w:val="TableContents"/>
              <w:bidi w:val="0"/>
              <w:spacing w:before="0" w:after="283"/>
              <w:jc w:val="right"/>
              <w:rPr/>
            </w:pPr>
            <w:r>
              <w:rPr/>
              <w:t>105,470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202,389</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10320" w:type="dxa"/>
        <w:jc w:val="left"/>
        <w:tblInd w:w="0" w:type="dxa"/>
        <w:tblLayout w:type="fixed"/>
        <w:tblCellMar>
          <w:top w:w="0" w:type="dxa"/>
          <w:left w:w="0" w:type="dxa"/>
          <w:bottom w:w="0" w:type="dxa"/>
          <w:right w:w="0" w:type="dxa"/>
        </w:tblCellMar>
      </w:tblPr>
      <w:tblGrid>
        <w:gridCol w:w="1370"/>
        <w:gridCol w:w="90"/>
        <w:gridCol w:w="90"/>
        <w:gridCol w:w="1130"/>
        <w:gridCol w:w="185"/>
        <w:gridCol w:w="90"/>
        <w:gridCol w:w="170"/>
        <w:gridCol w:w="890"/>
        <w:gridCol w:w="90"/>
        <w:gridCol w:w="90"/>
        <w:gridCol w:w="170"/>
        <w:gridCol w:w="1130"/>
        <w:gridCol w:w="185"/>
        <w:gridCol w:w="90"/>
        <w:gridCol w:w="170"/>
        <w:gridCol w:w="980"/>
        <w:gridCol w:w="90"/>
        <w:gridCol w:w="90"/>
        <w:gridCol w:w="170"/>
        <w:gridCol w:w="1640"/>
        <w:gridCol w:w="90"/>
        <w:gridCol w:w="90"/>
        <w:gridCol w:w="170"/>
        <w:gridCol w:w="830"/>
        <w:gridCol w:w="230"/>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540" w:type="dxa"/>
            <w:gridSpan w:val="21"/>
            <w:tcBorders>
              <w:bottom w:val="single" w:sz="12" w:space="0" w:color="000000"/>
            </w:tcBorders>
            <w:tcMar>
              <w:bottom w:w="28" w:type="dxa"/>
            </w:tcMar>
            <w:vAlign w:val="center"/>
          </w:tcPr>
          <w:p>
            <w:pPr>
              <w:pStyle w:val="TableContents"/>
              <w:bidi w:val="0"/>
              <w:spacing w:before="0" w:after="283"/>
              <w:jc w:val="center"/>
              <w:rPr/>
            </w:pPr>
            <w:r>
              <w:rPr>
                <w:b/>
                <w:spacing w:val="0"/>
              </w:rPr>
              <w:t>Stockholders' Equity</w:t>
            </w:r>
            <w:r>
              <w:rPr/>
              <w:t xml:space="preserve"> </w:t>
            </w:r>
          </w:p>
        </w:tc>
        <w:tc>
          <w:tcPr>
            <w:tcW w:w="230" w:type="dxa"/>
            <w:tcBorders/>
            <w:vAlign w:val="center"/>
          </w:tcPr>
          <w:p>
            <w:pPr>
              <w:pStyle w:val="TableContents"/>
              <w:bidi w:val="0"/>
              <w:spacing w:before="0" w:after="283"/>
              <w:jc w:val="center"/>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center"/>
              <w:rPr/>
            </w:pPr>
            <w:r>
              <w:rPr>
                <w:b/>
              </w:rPr>
              <w:t>Accumulated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30"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b/>
              </w:rPr>
              <w:t>Additional</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center"/>
              <w:rPr/>
            </w:pPr>
            <w:r>
              <w:rPr>
                <w:b/>
              </w:rPr>
              <w:t>Other</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2735" w:type="dxa"/>
            <w:gridSpan w:val="8"/>
            <w:tcBorders/>
            <w:vAlign w:val="center"/>
          </w:tcPr>
          <w:p>
            <w:pPr>
              <w:pStyle w:val="TableContents"/>
              <w:bidi w:val="0"/>
              <w:spacing w:before="0" w:after="283"/>
              <w:jc w:val="center"/>
              <w:rPr/>
            </w:pPr>
            <w:r>
              <w:rPr>
                <w:b/>
              </w:rPr>
              <w:t>Common Stock</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b/>
              </w:rPr>
              <w:t>Paid-in</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b/>
              </w:rPr>
              <w:t>Retained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640" w:type="dxa"/>
            <w:tcBorders/>
            <w:vAlign w:val="center"/>
          </w:tcPr>
          <w:p>
            <w:pPr>
              <w:pStyle w:val="TableContents"/>
              <w:bidi w:val="0"/>
              <w:spacing w:before="0" w:after="283"/>
              <w:jc w:val="center"/>
              <w:rPr/>
            </w:pPr>
            <w:r>
              <w:rPr>
                <w:b/>
              </w:rPr>
              <w:t>Comprehensive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12"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Capital</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12" w:space="0" w:color="000000"/>
            </w:tcBorders>
            <w:tcMar>
              <w:bottom w:w="28" w:type="dxa"/>
            </w:tcMar>
            <w:vAlign w:val="center"/>
          </w:tcPr>
          <w:p>
            <w:pPr>
              <w:pStyle w:val="TableContents"/>
              <w:bidi w:val="0"/>
              <w:spacing w:before="0" w:after="283"/>
              <w:jc w:val="center"/>
              <w:rPr/>
            </w:pPr>
            <w:r>
              <w:rPr>
                <w:b/>
              </w:rPr>
              <w:t>Earnings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40" w:type="dxa"/>
            <w:tcBorders>
              <w:bottom w:val="single" w:sz="12" w:space="0" w:color="000000"/>
            </w:tcBorders>
            <w:tcMar>
              <w:bottom w:w="28" w:type="dxa"/>
            </w:tcMar>
            <w:vAlign w:val="center"/>
          </w:tcPr>
          <w:p>
            <w:pPr>
              <w:pStyle w:val="TableContents"/>
              <w:bidi w:val="0"/>
              <w:spacing w:before="0" w:after="283"/>
              <w:jc w:val="center"/>
              <w:rPr/>
            </w:pPr>
            <w:r>
              <w:rPr>
                <w:b/>
              </w:rPr>
              <w:t>Income</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0" w:type="dxa"/>
            <w:tcBorders/>
            <w:vAlign w:val="center"/>
          </w:tcPr>
          <w:p>
            <w:pPr>
              <w:pStyle w:val="TableContents"/>
              <w:bidi w:val="0"/>
              <w:spacing w:before="0" w:after="283"/>
              <w:jc w:val="center"/>
              <w:rPr/>
            </w:pPr>
            <w:r>
              <w:rPr/>
              <w:t> </w:t>
            </w:r>
          </w:p>
        </w:tc>
      </w:tr>
      <w:tr>
        <w:trPr/>
        <w:tc>
          <w:tcPr>
            <w:tcW w:w="1370" w:type="dxa"/>
            <w:tcBorders/>
            <w:shd w:fill="CCEEFF" w:val="clear"/>
            <w:vAlign w:val="center"/>
          </w:tcPr>
          <w:p>
            <w:pPr>
              <w:pStyle w:val="TableContents"/>
              <w:bidi w:val="0"/>
              <w:spacing w:before="0" w:after="0"/>
              <w:jc w:val="left"/>
              <w:rPr/>
            </w:pPr>
            <w:r>
              <w:rPr/>
              <w:t xml:space="preserve">BALANCE - January 1, 2025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31,462,640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48,181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50,639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79,170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274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178,264</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Net income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90" w:type="dxa"/>
            <w:tcBorders/>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980" w:type="dxa"/>
            <w:tcBorders/>
            <w:vAlign w:val="center"/>
          </w:tcPr>
          <w:p>
            <w:pPr>
              <w:pStyle w:val="TableContents"/>
              <w:bidi w:val="0"/>
              <w:spacing w:before="0" w:after="283"/>
              <w:jc w:val="right"/>
              <w:rPr/>
            </w:pPr>
            <w:r>
              <w:rPr/>
              <w:t>1,944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640" w:type="dxa"/>
            <w:tcBorders/>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1,944</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pPr>
            <w:r>
              <w:rPr/>
              <w:t xml:space="preserve">Stock-based compensation expense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Restricted stock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328,140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90" w:type="dxa"/>
            <w:tcBorders/>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1,205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980" w:type="dxa"/>
            <w:tcBorders/>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640" w:type="dxa"/>
            <w:tcBorders/>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1,205</w:t>
            </w:r>
          </w:p>
        </w:tc>
        <w:tc>
          <w:tcPr>
            <w:tcW w:w="230" w:type="dxa"/>
            <w:tcBorders/>
            <w:vAlign w:val="center"/>
          </w:tcPr>
          <w:p>
            <w:pPr>
              <w:pStyle w:val="TableContents"/>
              <w:bidi w:val="0"/>
              <w:spacing w:before="0" w:after="283"/>
              <w:ind w:left="0" w:right="0" w:hanging="150"/>
              <w:jc w:val="left"/>
              <w:rPr/>
            </w:pPr>
            <w:r>
              <w:rPr/>
              <w:t> </w:t>
            </w:r>
          </w:p>
        </w:tc>
      </w:tr>
      <w:tr>
        <w:trPr/>
        <w:tc>
          <w:tcPr>
            <w:tcW w:w="1370" w:type="dxa"/>
            <w:tcBorders/>
            <w:shd w:fill="CCEEFF" w:val="clear"/>
            <w:vAlign w:val="center"/>
          </w:tcPr>
          <w:p>
            <w:pPr>
              <w:pStyle w:val="TableContents"/>
              <w:bidi w:val="0"/>
              <w:spacing w:before="0" w:after="0"/>
              <w:jc w:val="left"/>
              <w:rPr/>
            </w:pPr>
            <w:r>
              <w:rPr/>
              <w:t xml:space="preserve">Net share settlement for equity-based compensation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(197,973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(3,633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6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(3,633</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BALANCE - March 31, 2025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31,592,807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90" w:type="dxa"/>
            <w:tcBorders>
              <w:bottom w:val="single" w:sz="12" w:space="0" w:color="000000"/>
            </w:tcBorders>
            <w:tcMar>
              <w:bottom w:w="28" w:type="dxa"/>
            </w:tcMar>
            <w:vAlign w:val="center"/>
          </w:tcPr>
          <w:p>
            <w:pPr>
              <w:pStyle w:val="TableContents"/>
              <w:bidi w:val="0"/>
              <w:spacing w:before="0" w:after="283"/>
              <w:jc w:val="right"/>
              <w:rPr/>
            </w:pPr>
            <w:r>
              <w:rPr/>
              <w:t>48,181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48,211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81,114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640" w:type="dxa"/>
            <w:tcBorders>
              <w:bottom w:val="single" w:sz="12" w:space="0" w:color="000000"/>
            </w:tcBorders>
            <w:tcMar>
              <w:bottom w:w="28" w:type="dxa"/>
            </w:tcMar>
            <w:vAlign w:val="center"/>
          </w:tcPr>
          <w:p>
            <w:pPr>
              <w:pStyle w:val="TableContents"/>
              <w:bidi w:val="0"/>
              <w:spacing w:before="0" w:after="283"/>
              <w:jc w:val="right"/>
              <w:rPr/>
            </w:pPr>
            <w:r>
              <w:rPr/>
              <w:t>274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177,780</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pPr>
            <w:r>
              <w:rPr/>
              <w:t xml:space="preserve">Net income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90" w:type="dxa"/>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980" w:type="dxa"/>
            <w:tcBorders/>
            <w:shd w:fill="CCEEFF" w:val="clear"/>
            <w:vAlign w:val="center"/>
          </w:tcPr>
          <w:p>
            <w:pPr>
              <w:pStyle w:val="TableContents"/>
              <w:bidi w:val="0"/>
              <w:spacing w:before="0" w:after="283"/>
              <w:jc w:val="right"/>
              <w:rPr/>
            </w:pPr>
            <w:r>
              <w:rPr/>
              <w:t>1,554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640" w:type="dxa"/>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1,554</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Stock-based compensation expense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pPr>
            <w:r>
              <w:rPr/>
              <w:t xml:space="preserve">Restricted stock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xml:space="preserve">          </w:t>
            </w:r>
            <w:r>
              <w:rPr/>
              <w:t>32,478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90" w:type="dxa"/>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1,344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980" w:type="dxa"/>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640" w:type="dxa"/>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1,344</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pPr>
            <w:r>
              <w:rPr/>
              <w:t xml:space="preserve">Net share settlement for equity-based compensation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90"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640"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pPr>
            <w:r>
              <w:rPr/>
              <w:t xml:space="preserve">BALANCE - June 30, 2025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31,625,285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8" w:space="0" w:color="000000"/>
            </w:tcBorders>
            <w:shd w:fill="CCEEFF" w:val="clear"/>
            <w:tcMar>
              <w:bottom w:w="28" w:type="dxa"/>
            </w:tcMar>
            <w:vAlign w:val="center"/>
          </w:tcPr>
          <w:p>
            <w:pPr>
              <w:pStyle w:val="TableContents"/>
              <w:bidi w:val="0"/>
              <w:spacing w:before="0" w:after="283"/>
              <w:jc w:val="right"/>
              <w:rPr/>
            </w:pPr>
            <w:r>
              <w:rPr/>
              <w:t>48,181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49,555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8" w:space="0" w:color="000000"/>
            </w:tcBorders>
            <w:shd w:fill="CCEEFF" w:val="clear"/>
            <w:tcMar>
              <w:bottom w:w="28" w:type="dxa"/>
            </w:tcMar>
            <w:vAlign w:val="center"/>
          </w:tcPr>
          <w:p>
            <w:pPr>
              <w:pStyle w:val="TableContents"/>
              <w:bidi w:val="0"/>
              <w:spacing w:before="0" w:after="283"/>
              <w:jc w:val="right"/>
              <w:rPr/>
            </w:pPr>
            <w:r>
              <w:rPr/>
              <w:t>82,668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8" w:space="0" w:color="000000"/>
            </w:tcBorders>
            <w:shd w:fill="CCEEFF" w:val="clear"/>
            <w:tcMar>
              <w:bottom w:w="28" w:type="dxa"/>
            </w:tcMar>
            <w:vAlign w:val="center"/>
          </w:tcPr>
          <w:p>
            <w:pPr>
              <w:pStyle w:val="TableContents"/>
              <w:bidi w:val="0"/>
              <w:spacing w:before="0" w:after="283"/>
              <w:jc w:val="right"/>
              <w:rPr/>
            </w:pPr>
            <w:r>
              <w:rPr/>
              <w:t>274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180,678</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See Notes to Condensed Consolidated Financial Statements (Unaudited). </w:t>
      </w:r>
    </w:p>
    <w:p>
      <w:pPr>
        <w:pStyle w:val="TextBody"/>
        <w:bidi w:val="0"/>
        <w:spacing w:before="0" w:after="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LINCOLN EDUCATIONAL SERVICES CORPORATION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10" w:name="CASH_FLOWS"/>
      <w:bookmarkEnd w:id="10"/>
      <w:r>
        <w:rPr>
          <w:rFonts w:ascii="Times New Roman" w:hAnsi="Times New Roman"/>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700"/>
        <w:gridCol w:w="90"/>
        <w:gridCol w:w="170"/>
        <w:gridCol w:w="785"/>
        <w:gridCol w:w="185"/>
        <w:gridCol w:w="90"/>
        <w:gridCol w:w="170"/>
        <w:gridCol w:w="785"/>
        <w:gridCol w:w="230"/>
      </w:tblGrid>
      <w:tr>
        <w:trPr/>
        <w:tc>
          <w:tcPr>
            <w:tcW w:w="7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283"/>
              <w:jc w:val="left"/>
              <w:rPr/>
            </w:pPr>
            <w:r>
              <w:rPr/>
              <w:t> </w:t>
            </w:r>
          </w:p>
        </w:tc>
        <w:tc>
          <w:tcPr>
            <w:tcW w:w="2505" w:type="dxa"/>
            <w:gridSpan w:val="8"/>
            <w:tcBorders/>
            <w:vAlign w:val="center"/>
          </w:tcPr>
          <w:p>
            <w:pPr>
              <w:pStyle w:val="TableContents"/>
              <w:bidi w:val="0"/>
              <w:spacing w:before="0" w:after="283"/>
              <w:jc w:val="center"/>
              <w:rPr/>
            </w:pPr>
            <w:r>
              <w:rPr>
                <w:b/>
              </w:rPr>
              <w:t>Six Months Ended</w:t>
            </w:r>
            <w:r>
              <w:rPr/>
              <w:t xml:space="preserve"> </w:t>
            </w:r>
          </w:p>
        </w:tc>
      </w:tr>
      <w:tr>
        <w:trPr/>
        <w:tc>
          <w:tcPr>
            <w:tcW w:w="7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15"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June 30,</w:t>
            </w:r>
            <w:r>
              <w:rPr/>
              <w:t xml:space="preserve"> </w:t>
            </w:r>
          </w:p>
        </w:tc>
        <w:tc>
          <w:tcPr>
            <w:tcW w:w="230" w:type="dxa"/>
            <w:tcBorders/>
            <w:vAlign w:val="center"/>
          </w:tcPr>
          <w:p>
            <w:pPr>
              <w:pStyle w:val="TableContents"/>
              <w:bidi w:val="0"/>
              <w:spacing w:before="0" w:after="283"/>
              <w:jc w:val="center"/>
              <w:rPr/>
            </w:pPr>
            <w:r>
              <w:rPr/>
              <w:t> </w:t>
            </w:r>
          </w:p>
        </w:tc>
      </w:tr>
      <w:tr>
        <w:trPr/>
        <w:tc>
          <w:tcPr>
            <w:tcW w:w="7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0" w:type="dxa"/>
            <w:tcBorders/>
            <w:vAlign w:val="center"/>
          </w:tcPr>
          <w:p>
            <w:pPr>
              <w:pStyle w:val="TableContents"/>
              <w:bidi w:val="0"/>
              <w:spacing w:before="0" w:after="283"/>
              <w:jc w:val="center"/>
              <w:rPr/>
            </w:pPr>
            <w:r>
              <w:rPr/>
              <w:t> </w:t>
            </w:r>
          </w:p>
        </w:tc>
      </w:tr>
      <w:tr>
        <w:trPr/>
        <w:tc>
          <w:tcPr>
            <w:tcW w:w="7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CASH FLOWS FROM OPERATING ACTIVITIES: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Net income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6,302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3,499</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Adjustments to reconcile net income to net cash provided by (used in) operating activities: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Depreciation and amortization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14,587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7,637</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Finance lease amortization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835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835</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Amortization of deferred finance charges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90</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Deferred income taxes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547</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Gain on sale of assets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(476</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Fixed asset donations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(111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(197</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Provision for credit losses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29,717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25,012</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Stock-based compensation expense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3,059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2,548</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0" w:right="0" w:firstLine="200"/>
              <w:jc w:val="left"/>
              <w:rPr/>
            </w:pPr>
            <w:r>
              <w:rPr/>
              <w:t xml:space="preserve">(Increase) decrease in assets: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Accounts receivable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(39,056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(30,797</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Inventories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(91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(1,451</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Prepaid income taxes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(324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(2,794</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Prepaid expenses and current assets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5,783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(3,611</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Other assets, net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(387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(657</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0" w:right="0" w:firstLine="200"/>
              <w:jc w:val="left"/>
              <w:rPr/>
            </w:pPr>
            <w:r>
              <w:rPr/>
              <w:t xml:space="preserve">Increase (decrease) in liabilities: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Accounts payable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(754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(9,768</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Accrued expenses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(1,735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3,452</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Unearned tuition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7,761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(2,548</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Income taxes payable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(1,072</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Other liabilities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986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1,672</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Total adjustments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20,331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(11,578</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Net cash provided by (used in) operating activities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26,633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(8,079</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CASH FLOWS FROM INVESTING ACTIVITIES: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Capital expenditures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(29,132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(46,276</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Proceeds from (payments for) sale of property and equipment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504</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Net cash used in investing activities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(29,105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(45,772</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CASH FLOWS FROM FINANCING ACTIVITIES: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Proceeds from borrowings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70,000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25,000</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Payments on borrowings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(44,000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(12,000</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Payment of deferred finance fees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(990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(121</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Finance lease principal paid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(219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(179</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Tenant allowance finance leases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2,212</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Net share settlement for equity-based compensation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(6,660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(3,633</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Net cash provided by financing activities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18,131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11,279</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NET INCREASE (DECREASE) IN CASH AND CASH EQUIVALENTS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15,659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785" w:type="dxa"/>
            <w:tcBorders/>
            <w:shd w:fill="CCEEFF" w:val="clear"/>
            <w:vAlign w:val="center"/>
          </w:tcPr>
          <w:p>
            <w:pPr>
              <w:pStyle w:val="TableContents"/>
              <w:bidi w:val="0"/>
              <w:spacing w:before="0" w:after="283"/>
              <w:jc w:val="right"/>
              <w:rPr/>
            </w:pPr>
            <w:r>
              <w:rPr/>
              <w:t>(42,572</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jc w:val="left"/>
              <w:rPr/>
            </w:pPr>
            <w:r>
              <w:rPr/>
              <w:t xml:space="preserve">CASH AND CASH EQUIVALENTS —Beginning of period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28,519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59,273</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jc w:val="left"/>
              <w:rPr/>
            </w:pPr>
            <w:r>
              <w:rPr/>
              <w:t xml:space="preserve">CASH AND CASH EQUIVALENTS—End of period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8" w:space="0" w:color="000000"/>
            </w:tcBorders>
            <w:shd w:fill="CCEEFF" w:val="clear"/>
            <w:tcMar>
              <w:bottom w:w="28" w:type="dxa"/>
            </w:tcMar>
            <w:vAlign w:val="center"/>
          </w:tcPr>
          <w:p>
            <w:pPr>
              <w:pStyle w:val="TableContents"/>
              <w:bidi w:val="0"/>
              <w:spacing w:before="0" w:after="283"/>
              <w:jc w:val="right"/>
              <w:rPr/>
            </w:pPr>
            <w:r>
              <w:rPr/>
              <w:t>44,178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8" w:space="0" w:color="000000"/>
            </w:tcBorders>
            <w:shd w:fill="CCEEFF" w:val="clear"/>
            <w:tcMar>
              <w:bottom w:w="28" w:type="dxa"/>
            </w:tcMar>
            <w:vAlign w:val="center"/>
          </w:tcPr>
          <w:p>
            <w:pPr>
              <w:pStyle w:val="TableContents"/>
              <w:bidi w:val="0"/>
              <w:spacing w:before="0" w:after="283"/>
              <w:jc w:val="right"/>
              <w:rPr/>
            </w:pPr>
            <w:r>
              <w:rPr/>
              <w:t>16,701</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See Notes to Condensed Consolidated Financial Statements (Unaudited).</w:t>
      </w:r>
    </w:p>
    <w:p>
      <w:pPr>
        <w:pStyle w:val="TextBody"/>
        <w:bidi w:val="0"/>
        <w:spacing w:before="0" w:after="0"/>
        <w:jc w:val="center"/>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LINCOLN EDUCATIONAL SERVICES CORPORATION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(Continued)</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8160"/>
        <w:gridCol w:w="90"/>
        <w:gridCol w:w="170"/>
        <w:gridCol w:w="590"/>
        <w:gridCol w:w="90"/>
        <w:gridCol w:w="90"/>
        <w:gridCol w:w="170"/>
        <w:gridCol w:w="710"/>
        <w:gridCol w:w="135"/>
      </w:tblGrid>
      <w:tr>
        <w:trPr/>
        <w:tc>
          <w:tcPr>
            <w:tcW w:w="8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160" w:type="dxa"/>
            <w:tcBorders/>
            <w:vAlign w:val="center"/>
          </w:tcPr>
          <w:p>
            <w:pPr>
              <w:pStyle w:val="TableContents"/>
              <w:bidi w:val="0"/>
              <w:spacing w:before="0" w:after="283"/>
              <w:jc w:val="left"/>
              <w:rPr/>
            </w:pPr>
            <w:r>
              <w:rPr/>
              <w:t> </w:t>
            </w:r>
          </w:p>
        </w:tc>
        <w:tc>
          <w:tcPr>
            <w:tcW w:w="2045" w:type="dxa"/>
            <w:gridSpan w:val="8"/>
            <w:tcBorders/>
            <w:vAlign w:val="center"/>
          </w:tcPr>
          <w:p>
            <w:pPr>
              <w:pStyle w:val="TableContents"/>
              <w:bidi w:val="0"/>
              <w:spacing w:before="0" w:after="283"/>
              <w:jc w:val="center"/>
              <w:rPr/>
            </w:pPr>
            <w:r>
              <w:rPr>
                <w:b/>
              </w:rPr>
              <w:t>Six Months Ended</w:t>
            </w:r>
            <w:r>
              <w:rPr/>
              <w:t xml:space="preserve"> </w:t>
            </w:r>
          </w:p>
        </w:tc>
      </w:tr>
      <w:tr>
        <w:trPr/>
        <w:tc>
          <w:tcPr>
            <w:tcW w:w="8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50"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June 30,</w:t>
            </w:r>
            <w:r>
              <w:rPr/>
              <w:t xml:space="preserve"> </w:t>
            </w:r>
          </w:p>
        </w:tc>
        <w:tc>
          <w:tcPr>
            <w:tcW w:w="135" w:type="dxa"/>
            <w:tcBorders/>
            <w:vAlign w:val="center"/>
          </w:tcPr>
          <w:p>
            <w:pPr>
              <w:pStyle w:val="TableContents"/>
              <w:bidi w:val="0"/>
              <w:spacing w:before="0" w:after="283"/>
              <w:jc w:val="center"/>
              <w:rPr/>
            </w:pPr>
            <w:r>
              <w:rPr/>
              <w:t> </w:t>
            </w:r>
          </w:p>
        </w:tc>
      </w:tr>
      <w:tr>
        <w:trPr/>
        <w:tc>
          <w:tcPr>
            <w:tcW w:w="8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5" w:type="dxa"/>
            <w:tcBorders/>
            <w:vAlign w:val="center"/>
          </w:tcPr>
          <w:p>
            <w:pPr>
              <w:pStyle w:val="TableContents"/>
              <w:bidi w:val="0"/>
              <w:spacing w:before="0" w:after="283"/>
              <w:jc w:val="center"/>
              <w:rPr/>
            </w:pPr>
            <w:r>
              <w:rPr/>
              <w:t> </w:t>
            </w:r>
          </w:p>
        </w:tc>
      </w:tr>
      <w:tr>
        <w:trPr/>
        <w:tc>
          <w:tcPr>
            <w:tcW w:w="8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160" w:type="dxa"/>
            <w:tcBorders/>
            <w:vAlign w:val="center"/>
          </w:tcPr>
          <w:p>
            <w:pPr>
              <w:pStyle w:val="TableContents"/>
              <w:bidi w:val="0"/>
              <w:spacing w:before="0" w:after="0"/>
              <w:jc w:val="left"/>
              <w:rPr/>
            </w:pPr>
            <w:r>
              <w:rPr/>
              <w:t xml:space="preserve">SUPPLEMENTAL DISCLOSURES OF CASH FLOW INFORMATION: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160" w:type="dxa"/>
            <w:tcBorders/>
            <w:vAlign w:val="center"/>
          </w:tcPr>
          <w:p>
            <w:pPr>
              <w:pStyle w:val="TableContents"/>
              <w:bidi w:val="0"/>
              <w:spacing w:before="0" w:after="0"/>
              <w:jc w:val="left"/>
              <w:rPr/>
            </w:pPr>
            <w:r>
              <w:rPr/>
              <w:t xml:space="preserve">Cash paid for: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0"/>
              <w:jc w:val="left"/>
              <w:rPr/>
            </w:pPr>
            <w:r>
              <w:rPr/>
              <w:t xml:space="preserve">Interest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8" w:space="0" w:color="000000"/>
            </w:tcBorders>
            <w:shd w:fill="CCEEFF" w:val="clear"/>
            <w:tcMar>
              <w:bottom w:w="28" w:type="dxa"/>
            </w:tcMar>
            <w:vAlign w:val="center"/>
          </w:tcPr>
          <w:p>
            <w:pPr>
              <w:pStyle w:val="TableContents"/>
              <w:bidi w:val="0"/>
              <w:spacing w:before="0" w:after="283"/>
              <w:jc w:val="right"/>
              <w:rPr/>
            </w:pPr>
            <w:r>
              <w:rPr/>
              <w:t>1,726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rPr/>
            </w:pPr>
            <w:r>
              <w:rPr/>
              <w:t>1,391</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8160" w:type="dxa"/>
            <w:tcBorders/>
            <w:vAlign w:val="center"/>
          </w:tcPr>
          <w:p>
            <w:pPr>
              <w:pStyle w:val="TableContents"/>
              <w:bidi w:val="0"/>
              <w:spacing w:before="0" w:after="0"/>
              <w:jc w:val="left"/>
              <w:rPr/>
            </w:pPr>
            <w:r>
              <w:rPr/>
              <w:t xml:space="preserve">Income taxes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590" w:type="dxa"/>
            <w:tcBorders>
              <w:bottom w:val="double" w:sz="8" w:space="0" w:color="000000"/>
            </w:tcBorders>
            <w:tcMar>
              <w:bottom w:w="28" w:type="dxa"/>
            </w:tcMar>
            <w:vAlign w:val="center"/>
          </w:tcPr>
          <w:p>
            <w:pPr>
              <w:pStyle w:val="TableContents"/>
              <w:bidi w:val="0"/>
              <w:spacing w:before="0" w:after="283"/>
              <w:jc w:val="right"/>
              <w:rPr/>
            </w:pPr>
            <w:r>
              <w:rPr/>
              <w:t>544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4,721</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0"/>
              <w:jc w:val="left"/>
              <w:rPr/>
            </w:pPr>
            <w:r>
              <w:rPr/>
              <w:t xml:space="preserve">SUPPLEMENTAL SCHEDULE OF NONCASH INVESTING AND FINANCING ACTIVITIES: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8160" w:type="dxa"/>
            <w:tcBorders/>
            <w:vAlign w:val="center"/>
          </w:tcPr>
          <w:p>
            <w:pPr>
              <w:pStyle w:val="TableContents"/>
              <w:bidi w:val="0"/>
              <w:spacing w:before="0" w:after="0"/>
              <w:jc w:val="left"/>
              <w:rPr/>
            </w:pPr>
            <w:r>
              <w:rPr/>
              <w:t xml:space="preserve">Liabilities accrued for or non-cash additions of fixed assets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590" w:type="dxa"/>
            <w:tcBorders>
              <w:bottom w:val="double" w:sz="8" w:space="0" w:color="000000"/>
            </w:tcBorders>
            <w:tcMar>
              <w:bottom w:w="28" w:type="dxa"/>
            </w:tcMar>
            <w:vAlign w:val="center"/>
          </w:tcPr>
          <w:p>
            <w:pPr>
              <w:pStyle w:val="TableContents"/>
              <w:bidi w:val="0"/>
              <w:spacing w:before="0" w:after="283"/>
              <w:jc w:val="right"/>
              <w:rPr/>
            </w:pPr>
            <w:r>
              <w:rPr/>
              <w:t>9,525</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14,023</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See Notes to Condensed Consolidated Financial Statements (Unaudited).</w:t>
      </w:r>
    </w:p>
    <w:p>
      <w:pPr>
        <w:pStyle w:val="TextBody"/>
        <w:bidi w:val="0"/>
        <w:spacing w:before="0" w:after="0"/>
        <w:jc w:val="center"/>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LINCOLN EDUCATIONAL SERVICES CORPORATION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11" w:name="NOTES_TO_CONDENSED"/>
      <w:bookmarkEnd w:id="11"/>
      <w:r>
        <w:rPr>
          <w:rFonts w:ascii="Times New Roman" w:hAnsi="Times New Roman"/>
          <w:b/>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THREE AND SIX MONTHS ENDED JUNE 30, 2026 AND 2025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(In thousands, except share and per share amounts and unless otherwise stated)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rPr>
        <w:t>DESCRIPTION OF BUSINESS AND BASIS OF PRESENTATION</w:t>
      </w:r>
      <w:r>
        <w:rPr>
          <w:rFonts w:ascii="Times New Roman" w:hAnsi="Times New Roman"/>
          <w:sz w:val="20"/>
        </w:rPr>
        <w:t xml:space="p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342900" cy="146685"/>
                <wp:effectExtent l="0" t="0" r="0" b="0"/>
                <wp:wrapSquare wrapText="right"/>
                <wp:docPr id="25" name="Frame25"/>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sz w:val="20"/>
                              </w:rPr>
                            </w:pPr>
                            <w:r>
                              <w:rPr>
                                <w:b/>
                                <w:sz w:val="20"/>
                              </w:rPr>
                              <w:t>1.</w:t>
                            </w:r>
                            <w:r>
                              <w:rPr>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1.</w:t>
                      </w:r>
                      <w:r>
                        <w:rPr>
                          <w:sz w:val="20"/>
                        </w:rPr>
                        <w:t xml:space="preserve"> </w:t>
                      </w:r>
                    </w:p>
                  </w:txbxContent>
                </v:textbox>
                <w10:wrap type="square" side="right"/>
              </v:rect>
            </w:pict>
          </mc:Fallback>
        </mc:AlternateContent>
      </w:r>
    </w:p>
    <w:p>
      <w:pPr>
        <w:pStyle w:val="TextBody"/>
        <w:bidi w:val="0"/>
        <w:spacing w:before="0" w:after="0"/>
        <w:ind w:left="0" w:right="0" w:hanging="54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Business Activities</w:t>
      </w:r>
      <w:r>
        <w:rPr>
          <w:rFonts w:ascii="Times New Roman" w:hAnsi="Times New Roman"/>
          <w:sz w:val="20"/>
        </w:rPr>
        <w:t xml:space="preserve">— Lincoln Educational Services Corporation and its subsidiaries (collectively, the “Company,” “we,” “our,” and “us,” as applicable) provide diversified career-oriented postsecondary education to recent high school graduates and working adults. The Company, which currently operates 22 campuses in 12 states, recently entered into leases for three new campuses: one in Hicksville, New York, with programs expected to begin by the end of 2026, one in Rowlett, Texas, a northern suburb of Dallas, with programs expected to begin in the first quarter of 2027, and one in Suitland, Maryland, located in the Washington, D.C. metropolitan area, with programs expected to begin in the fourth quarter of 2027. The Company offers programs in skilled trades, automotive, health sciences and information technology. The schools operate under the brands Lincoln Technical Institute, Lincoln College of Technology and Nashville Auto Diesel College.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Most of the Company’s campuses serve major metropolitan markets and each typically offers courses in multiple areas of study. Five of the campuses are destination schools, which attract students from across the United States and, in some cases, from abroad. The Company’s other campuses primarily attract students from their local communities and surrounding areas. All of the campuses are nationally accredited and are eligible to participate in federal financial aid programs administered by the U.S. Department of Education (</w:t>
      </w:r>
      <w:r>
        <w:rPr>
          <w:rFonts w:ascii="Times New Roman" w:hAnsi="Times New Roman"/>
          <w:spacing w:val="0"/>
          <w:sz w:val="20"/>
        </w:rPr>
        <w:t>the </w:t>
      </w:r>
      <w:r>
        <w:rPr>
          <w:rFonts w:ascii="Times New Roman" w:hAnsi="Times New Roman"/>
          <w:sz w:val="20"/>
        </w:rPr>
        <w:t xml:space="preserve">“DOE”) and applicable state education agencies and accrediting commissions, which allow students to apply for and access federal student loans as well as other forms of financial aid. The Company was incorporated in New Jersey in 2003 as the successor-in-interest to various acquired schools including Lincoln Technical Institute, Inc., which opened its first campus in Newark, New Jersey in 1946.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Basis of Presentation</w:t>
      </w:r>
      <w:r>
        <w:rPr>
          <w:rFonts w:ascii="Times New Roman" w:hAnsi="Times New Roman"/>
          <w:sz w:val="20"/>
        </w:rPr>
        <w:t xml:space="preserve">—The accompanying unaudited Condensed Consolidated Financial Statements have been prepared by the Company pursuant to the rules and regulations of the United States Securities and Exchange Commission (“SEC”) and in accordance with accounting principles generally accepted in the United States of America (“GAAP”) for interim financial statements. Certain information and footnote disclosures normally included in annual financial statements have been omitted or condensed pursuant to such regulations. These financial statements, which should be read in conjunction with the December 31, 2025 audited Consolidated Financial Statements and notes thereto and related disclosures of the Company included in the Company’s Annual Report on Form 10-K for the fiscal year ended December 31, 2025 (“Form 10-K”), reflect all adjustments, consisting of normal, recurring adjustments necessary to present fairly the consolidated financial position, results of operations and cash flows for such periods. The results of operations for the six months ended June 30, 2026 are not necessarily indicative of the results that may be expected for the full fiscal year ending December 31, 2026.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Company’s business is organized into two reportable business segments: Campus Operations and Transitional. The Campus Operations segment includes campuses that are continuing in operation and contribute to the Company’s core operations and performance. All of the campuses with continuing operations are classified in this segment. The Transitional segment refers to campuses that are marked for closure and are currently being taught-out, in addition to campuses that are held-for sale. As of June 30, 2026, no campuses were classified in the Transitional segment.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We evaluate performance based on operating results. Adjustments to reconcile segment results with consolidated results are included in the caption “Corporate,” which primarily includes unallocated corporate activity.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unaudited Condensed Consolidated Financial Statements include the accounts of the Company and its wholly owned subsidiaries. All intercompany accounts and transactions have been eliminated.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Use of Estimates in the Preparation of Financial Statements</w:t>
      </w:r>
      <w:r>
        <w:rPr>
          <w:rFonts w:ascii="Times New Roman" w:hAnsi="Times New Roman"/>
          <w:sz w:val="20"/>
        </w:rPr>
        <w:t xml:space="preserve"> – The preparation of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period. On an ongoing basis, the Company evaluates the estimates and assumptions, including those used to determine the incremental borrowing rate to calculate lease liabilities and right-of-use (“ROU”) assets, the lease term used to calculate lease cost, bad debts, impairments, useful lives of fixed assets, income taxes, benefit plans, stock-based compensation, and certain accruals. Actual results could differ from those estimates.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Start-up Costs</w:t>
      </w:r>
      <w:r>
        <w:rPr>
          <w:rFonts w:ascii="Times New Roman" w:hAnsi="Times New Roman"/>
          <w:sz w:val="20"/>
        </w:rPr>
        <w:t>—Costs related to the start of new campuses are expensed as incurred.</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i/>
          <w:sz w:val="20"/>
        </w:rPr>
        <w:t>New Accounting Pronouncements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 November 2024, the Financial Accounting Standard Board (FASB) issued Accounting Standards Update (“ASU”) 2024-03, </w:t>
      </w:r>
      <w:r>
        <w:rPr>
          <w:rFonts w:ascii="Times New Roman" w:hAnsi="Times New Roman"/>
          <w:i/>
          <w:sz w:val="20"/>
        </w:rPr>
        <w:t>Income Statement – Reporting Comprehensive Income – Expense Disaggregation Disclosures (Topic 220</w:t>
      </w:r>
      <w:r>
        <w:rPr>
          <w:rFonts w:ascii="Times New Roman" w:hAnsi="Times New Roman"/>
          <w:sz w:val="20"/>
        </w:rPr>
        <w:t xml:space="preserve">): </w:t>
      </w:r>
      <w:r>
        <w:rPr>
          <w:rFonts w:ascii="Times New Roman" w:hAnsi="Times New Roman"/>
          <w:i/>
          <w:sz w:val="20"/>
        </w:rPr>
        <w:t>Disaggregation of Income Statement Expenses</w:t>
      </w:r>
      <w:r>
        <w:rPr>
          <w:rFonts w:ascii="Times New Roman" w:hAnsi="Times New Roman"/>
          <w:sz w:val="20"/>
        </w:rPr>
        <w:t xml:space="preserve">, which requires additional disclosure of certain amounts included in the expense captions presented on the statements of operations, as well as disclosures about selling expenses. The ASU is effective on a prospective basis, with the option for retrospective application for periods beginning after December 15, 2026, and interim reporting periods beginning after December 15, 2027. Early adoption is permitted for annual financial statements that have not yet been issued. The Company does not expect the adoption of this ASU to have a material impact on its Condensed Consolidated Financial Statements.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 September 2025, the FASB issued ASU 2025-06, </w:t>
      </w:r>
      <w:r>
        <w:rPr>
          <w:rFonts w:ascii="Times New Roman" w:hAnsi="Times New Roman"/>
          <w:i/>
          <w:sz w:val="20"/>
        </w:rPr>
        <w:t xml:space="preserve">Intangibles Goodwill and Other- Internal-Use Software (Subtopic 350-40): Targeted Improvements to the Accounting for Internal-Use Software. </w:t>
      </w:r>
      <w:r>
        <w:rPr>
          <w:rFonts w:ascii="Times New Roman" w:hAnsi="Times New Roman"/>
          <w:sz w:val="20"/>
        </w:rPr>
        <w:t xml:space="preserve">The ASU amends the internal-use software cost capitalization model by eliminating stage-based rules and introduces new capitalization criteria based on management authorization and the probability of project completion. This ASU also clarifies the treatment of software development uncertainty and incorporates guidance on website development costs. The amendments are effective for fiscal years beginning after December 15, 2027, and interim periods within those fiscal years. ASU 2025-06 may be applied prospectively, retrospectively or on a modified transition approach with early adoption permitted. We do not expect the adoption of this ASU to have a material impact on our Condensed Consolidated Financial Statements.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 December 2025, the FASB issued ASU 2025-11, </w:t>
      </w:r>
      <w:r>
        <w:rPr>
          <w:rFonts w:ascii="Times New Roman" w:hAnsi="Times New Roman"/>
          <w:i/>
          <w:sz w:val="20"/>
        </w:rPr>
        <w:t>Interim Reporting (Topic 270): Narrow-Scope Improvements</w:t>
      </w:r>
      <w:r>
        <w:rPr>
          <w:rFonts w:ascii="Times New Roman" w:hAnsi="Times New Roman"/>
          <w:sz w:val="20"/>
        </w:rPr>
        <w:t xml:space="preserve">, which clarifies the guidance in Topic 270 to improve the consistency and navigability of interim financial reporting. The ASU provides a comprehensive list of required interim disclosures and introduces a disclosure principle requiring entities to disclose events occurring since the end of the last annual reporting period that have a material impact on the entity. ASU 2025-11 is effective for fiscal years beginning after December 15, 2027, including interim periods within those fiscal years. Early adoption is permitted. The Company is currently evaluating the impact of adopting ASU 2025-11 on its interim Condensed Consolidated Financial Statements and disclosures.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 December 2025, the FASB issued ASU 2025-10, </w:t>
      </w:r>
      <w:r>
        <w:rPr>
          <w:rFonts w:ascii="Times New Roman" w:hAnsi="Times New Roman"/>
          <w:i/>
          <w:sz w:val="20"/>
        </w:rPr>
        <w:t>Government Grants (Topic 832): Accounting for Government Grants Received by Business Entities</w:t>
      </w:r>
      <w:r>
        <w:rPr>
          <w:rFonts w:ascii="Times New Roman" w:hAnsi="Times New Roman"/>
          <w:sz w:val="20"/>
        </w:rPr>
        <w:t xml:space="preserve">, which establishes recognition, measurement, presentation, and disclosure guidance for government grants received by business entities, an area previously addressed only through disclosure requirements under Topic 832. The ASU is effective for public business entities for annual reporting periods beginning after December 15, 2028, including interim reporting periods within those annual reporting periods. The amendments may be applied on either a prospective or retrospective basis. The Company is currently evaluating the impact of adopting ASU 2025-10 on its Condensed Consolidated Financial Statements and disclosures.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Income Taxes</w:t>
      </w:r>
      <w:r>
        <w:rPr>
          <w:rFonts w:ascii="Times New Roman" w:hAnsi="Times New Roman"/>
          <w:sz w:val="20"/>
        </w:rPr>
        <w:t xml:space="preserve">— The Company accounts for income taxes in accordance with Accounting Standards Codification (“ASC”) Topic 740, </w:t>
      </w:r>
      <w:r>
        <w:rPr>
          <w:rFonts w:ascii="Times New Roman" w:hAnsi="Times New Roman"/>
          <w:i/>
          <w:sz w:val="20"/>
        </w:rPr>
        <w:t>Income Taxes</w:t>
      </w:r>
      <w:r>
        <w:rPr>
          <w:rFonts w:ascii="Times New Roman" w:hAnsi="Times New Roman"/>
          <w:sz w:val="20"/>
        </w:rPr>
        <w:t xml:space="preserve"> (“ASC 740”). ASC 740 requires an asset and a liability approach for measuring deferred taxes based on temporary differences between the financial statement and tax bases of assets and liabilities existing at each balance sheet date using enacted tax rates for years in which taxes are expected to be paid or recovered.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 accordance with ASC 740, the Company assesses its deferred tax asset to determine whether all or any portion of the asset is more likely than not unrealizable. A valuation allowance is required to be established or maintained when, based on currently available information, it is more likely than not that all or a portion of a deferred tax asset will not be realized. In accordance with ASC 740, our assessment considers whether there has been sufficient income in recent years and whether sufficient income is expected in future years in order to utilize the deferred tax asset. In evaluating the realizability of deferred income tax assets, the Company considers, among other things, historical levels of income, expected future income, the expected timing of the reversals of existing temporary reporting differences, and the expected impact of tax planning strategies that may be implemented to prevent the potential loss of future income tax benefits. Significant judgment is required in determining the future tax consequences of events that have been recognized in our Condensed Consolidated Financial Statements and/or tax returns. Differences between anticipated and actual outcomes of these future tax consequences could have a material impact on the Company’s consolidated financial position or results of operations. Changes in, among other things, income tax legislation, statutory income tax rates or future income levels could materially impact the Company’s valuation of income tax assets and liabilities and could cause our income tax provision to vary significantly among financial reporting periods.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We recognize accrued interest and penalties related to unrecognized tax benefits in income tax expense. During the six months ended June 30, 2026 and 2025, we did not record any interest and penalties expense associated with uncertain tax positions, as we did not have any uncertain tax positions.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On July 4, 2025, the U.S. enacted legislation that generally extends the tax provisions enacted in 2017 that were set to expire at the end of 2025 and makes other changes to federal tax law for multinational corporations. The Company continues to evaluate the impact of the new legislation, and any new impacts applicable as of June 30, 2026 have been reflected in the Condensed Consolidated Financial Statements.</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540"/>
        <w:jc w:val="left"/>
        <w:rPr>
          <w:rFonts w:ascii="Times New Roman" w:hAnsi="Times New Roman"/>
          <w:sz w:val="20"/>
        </w:rPr>
      </w:pPr>
      <w:r>
        <w:rPr>
          <w:rFonts w:ascii="Times New Roman" w:hAnsi="Times New Roman"/>
          <w:b/>
          <w:sz w:val="20"/>
        </w:rPr>
        <w:t>NET EARNINGS PER COMMON SHARE</w:t>
      </w:r>
      <w:r>
        <w:rPr>
          <w:rFonts w:ascii="Times New Roman" w:hAnsi="Times New Roman"/>
          <w:sz w:val="20"/>
        </w:rPr>
        <w:t xml:space="preserv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342900" cy="146685"/>
                <wp:effectExtent l="0" t="0" r="0" b="0"/>
                <wp:wrapSquare wrapText="right"/>
                <wp:docPr id="26" name="Frame26"/>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sz w:val="20"/>
                              </w:rPr>
                            </w:pPr>
                            <w:r>
                              <w:rPr>
                                <w:b/>
                                <w:sz w:val="20"/>
                              </w:rPr>
                              <w:t>2.</w:t>
                            </w:r>
                            <w:r>
                              <w:rPr>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2.</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Basic and diluted earnings per share (“EPS”) are calculated in accordance with ASC 260, Earnings Per Share (“ASC 260”), which specifies the computation, presentation and disclosure requirements for EPS. Under ASC 260, basic EPS excludes all dilutive Common Stock equivalents. It is computed by dividing net income by the weighted average number of common shares outstanding during the period. Diluted EPS, as calculated using the treasury stock method, reflects the potential dilution from employee incentive plans during the period.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weighted average number of common shares used to compute basic and diluted earnings per share for the three and six months ended June 30, 2026 and 2025 was as follows: </w:t>
      </w:r>
    </w:p>
    <w:p>
      <w:pPr>
        <w:pStyle w:val="TextBody"/>
        <w:bidi w:val="0"/>
        <w:spacing w:before="0" w:after="0"/>
        <w:jc w:val="left"/>
        <w:rPr/>
      </w:pPr>
      <w:r>
        <w:rPr/>
        <w:t xml:space="preserve">  </w:t>
      </w:r>
    </w:p>
    <w:tbl>
      <w:tblPr>
        <w:tblW w:w="10120" w:type="dxa"/>
        <w:jc w:val="left"/>
        <w:tblInd w:w="0" w:type="dxa"/>
        <w:tblLayout w:type="fixed"/>
        <w:tblCellMar>
          <w:top w:w="0" w:type="dxa"/>
          <w:left w:w="0" w:type="dxa"/>
          <w:bottom w:w="0" w:type="dxa"/>
          <w:right w:w="0" w:type="dxa"/>
        </w:tblCellMar>
      </w:tblPr>
      <w:tblGrid>
        <w:gridCol w:w="4475"/>
        <w:gridCol w:w="90"/>
        <w:gridCol w:w="90"/>
        <w:gridCol w:w="1130"/>
        <w:gridCol w:w="90"/>
        <w:gridCol w:w="90"/>
        <w:gridCol w:w="90"/>
        <w:gridCol w:w="1130"/>
        <w:gridCol w:w="90"/>
        <w:gridCol w:w="90"/>
        <w:gridCol w:w="90"/>
        <w:gridCol w:w="1130"/>
        <w:gridCol w:w="90"/>
        <w:gridCol w:w="90"/>
        <w:gridCol w:w="90"/>
        <w:gridCol w:w="1130"/>
        <w:gridCol w:w="135"/>
      </w:tblGrid>
      <w:tr>
        <w:trPr/>
        <w:tc>
          <w:tcPr>
            <w:tcW w:w="4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2800" w:type="dxa"/>
            <w:gridSpan w:val="8"/>
            <w:tcBorders/>
            <w:vAlign w:val="center"/>
          </w:tcPr>
          <w:p>
            <w:pPr>
              <w:pStyle w:val="TableContents"/>
              <w:bidi w:val="0"/>
              <w:spacing w:before="0" w:after="283"/>
              <w:jc w:val="center"/>
              <w:rPr>
                <w:b/>
              </w:rPr>
            </w:pPr>
            <w:r>
              <w:rPr>
                <w:b/>
              </w:rPr>
              <w:t xml:space="preserve">Three Months Ended </w:t>
            </w:r>
          </w:p>
        </w:tc>
        <w:tc>
          <w:tcPr>
            <w:tcW w:w="2845" w:type="dxa"/>
            <w:gridSpan w:val="8"/>
            <w:tcBorders/>
            <w:vAlign w:val="center"/>
          </w:tcPr>
          <w:p>
            <w:pPr>
              <w:pStyle w:val="TableContents"/>
              <w:bidi w:val="0"/>
              <w:spacing w:before="0" w:after="283"/>
              <w:jc w:val="center"/>
              <w:rPr>
                <w:b/>
              </w:rPr>
            </w:pPr>
            <w:r>
              <w:rPr>
                <w:b/>
              </w:rPr>
              <w:t xml:space="preserve">Six Months Ended </w:t>
            </w:r>
          </w:p>
        </w:tc>
      </w:tr>
      <w:tr>
        <w:trPr/>
        <w:tc>
          <w:tcPr>
            <w:tcW w:w="4475" w:type="dxa"/>
            <w:tcBorders/>
            <w:vAlign w:val="center"/>
          </w:tcPr>
          <w:p>
            <w:pPr>
              <w:pStyle w:val="TableContents"/>
              <w:bidi w:val="0"/>
              <w:spacing w:before="0" w:after="283"/>
              <w:jc w:val="left"/>
              <w:rPr/>
            </w:pPr>
            <w:r>
              <w:rPr/>
              <w:t> </w:t>
            </w:r>
          </w:p>
        </w:tc>
        <w:tc>
          <w:tcPr>
            <w:tcW w:w="2800" w:type="dxa"/>
            <w:gridSpan w:val="8"/>
            <w:tcBorders/>
            <w:vAlign w:val="center"/>
          </w:tcPr>
          <w:p>
            <w:pPr>
              <w:pStyle w:val="TableContents"/>
              <w:bidi w:val="0"/>
              <w:spacing w:before="0" w:after="283"/>
              <w:jc w:val="center"/>
              <w:rPr/>
            </w:pPr>
            <w:r>
              <w:rPr>
                <w:b/>
              </w:rPr>
              <w:t>June 30,</w:t>
            </w:r>
            <w:r>
              <w:rPr/>
              <w:t xml:space="preserve"> </w:t>
            </w:r>
          </w:p>
        </w:tc>
        <w:tc>
          <w:tcPr>
            <w:tcW w:w="2845" w:type="dxa"/>
            <w:gridSpan w:val="8"/>
            <w:tcBorders/>
            <w:vAlign w:val="center"/>
          </w:tcPr>
          <w:p>
            <w:pPr>
              <w:pStyle w:val="TableContents"/>
              <w:bidi w:val="0"/>
              <w:spacing w:before="0" w:after="283"/>
              <w:jc w:val="center"/>
              <w:rPr/>
            </w:pPr>
            <w:r>
              <w:rPr>
                <w:b/>
              </w:rPr>
              <w:t>June 30,</w:t>
            </w:r>
            <w:r>
              <w:rPr/>
              <w:t xml:space="preserve"> </w:t>
            </w:r>
          </w:p>
        </w:tc>
      </w:tr>
      <w:tr>
        <w:trPr/>
        <w:tc>
          <w:tcPr>
            <w:tcW w:w="4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5" w:type="dxa"/>
            <w:tcBorders/>
            <w:vAlign w:val="center"/>
          </w:tcPr>
          <w:p>
            <w:pPr>
              <w:pStyle w:val="TableContents"/>
              <w:bidi w:val="0"/>
              <w:spacing w:before="0" w:after="283"/>
              <w:jc w:val="center"/>
              <w:rPr/>
            </w:pPr>
            <w:r>
              <w:rPr/>
              <w:t> </w:t>
            </w:r>
          </w:p>
        </w:tc>
      </w:tr>
      <w:tr>
        <w:trPr/>
        <w:tc>
          <w:tcPr>
            <w:tcW w:w="4475" w:type="dxa"/>
            <w:tcBorders/>
            <w:shd w:fill="CCEEFF" w:val="clear"/>
            <w:vAlign w:val="center"/>
          </w:tcPr>
          <w:p>
            <w:pPr>
              <w:pStyle w:val="TableContents"/>
              <w:bidi w:val="0"/>
              <w:spacing w:before="0" w:after="0"/>
              <w:jc w:val="left"/>
              <w:rPr/>
            </w:pPr>
            <w:r>
              <w:rPr/>
              <w:t xml:space="preserve">Weighted average shares outstanding - basic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31,257,944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30,990,392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31,194,290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30,900,349</w:t>
            </w:r>
          </w:p>
        </w:tc>
        <w:tc>
          <w:tcPr>
            <w:tcW w:w="135"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pPr>
            <w:r>
              <w:rPr/>
              <w:t xml:space="preserve">Dilutive effect of Restricted Stock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160,850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280,862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181,082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272,130</w:t>
            </w:r>
          </w:p>
        </w:tc>
        <w:tc>
          <w:tcPr>
            <w:tcW w:w="13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pPr>
            <w:r>
              <w:rPr/>
              <w:t xml:space="preserve">Weighted average shares outstanding - diluted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31,418,794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31,271,254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31,375,372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31,172,479</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rPr>
        <w:t>REVENUE RECOGNITION</w:t>
      </w:r>
      <w:r>
        <w:rPr>
          <w:rFonts w:ascii="Times New Roman" w:hAnsi="Times New Roman"/>
          <w:sz w:val="20"/>
        </w:rPr>
        <w:t xml:space="preserve">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342900" cy="146685"/>
                <wp:effectExtent l="0" t="0" r="0" b="0"/>
                <wp:wrapSquare wrapText="right"/>
                <wp:docPr id="27" name="Frame27"/>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sz w:val="20"/>
                              </w:rPr>
                            </w:pPr>
                            <w:r>
                              <w:rPr>
                                <w:b/>
                                <w:sz w:val="20"/>
                              </w:rPr>
                              <w:t>3.</w:t>
                            </w:r>
                            <w:r>
                              <w:rPr>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3.</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Substantially all of our revenues are considered to be revenues from contracts with students. We determine standalone selling price based on the price at which the distinct services or goods are sold separately. The related accounts receivable balances are recorded in our balance sheets as student accounts receivable. We do not have significant revenue recognized from performance obligations that were satisfied in prior periods, and we do not have any transaction price allocated to unsatisfied performance obligations other than in our unearned tuition. We record revenue for students who withdraw from our schools only to the extent that it is probable that a significant reversal in the amount of cumulative revenue recognized will not occur. In addition, to reduce the amount of outstanding accounts receivable balances due from our students, the Company employs a continuous collection effort. Unearned tuition represents contract liabilities primarily related to our tuition revenue. We have elected not to provide disclosure about transaction prices allocated to unsatisfied performance obligations if the original contract durations are less than one-year, or if we have the right to consideration from a student in an amount that corresponds directly with the value provided to the student for performance obligations completed to date in accordance with ASC Topic 606, </w:t>
      </w:r>
      <w:r>
        <w:rPr>
          <w:rFonts w:ascii="Times New Roman" w:hAnsi="Times New Roman"/>
          <w:i/>
          <w:sz w:val="20"/>
        </w:rPr>
        <w:t>Revenue from Contracts with Customers</w:t>
      </w:r>
      <w:r>
        <w:rPr>
          <w:rFonts w:ascii="Times New Roman" w:hAnsi="Times New Roman"/>
          <w:sz w:val="20"/>
        </w:rPr>
        <w:t xml:space="preserve">. We have assessed the costs incurred to obtain a contract with a student and determined them to be immaterial.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Unearned tuition in the amount of $51.9 million and $44.2 million is recorded in the current liabilities section of the accompanying Condensed Consolidated Balance Sheets as of June 30, 2026 and December 31, 2025, respectively. The change in this contract liability balance during the six months ended June 30, 2026, is the result of payments received in advance of satisfying performance obligations, offset by revenue recognized during that period. Revenue recognized for the six months ended June 30, 2026, that was included in the contract liability balance at the beginning of the year was $42.0 million.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depicts the timing of revenue recognition by segment: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762"/>
        <w:gridCol w:w="90"/>
        <w:gridCol w:w="170"/>
        <w:gridCol w:w="1399"/>
        <w:gridCol w:w="103"/>
        <w:gridCol w:w="103"/>
        <w:gridCol w:w="195"/>
        <w:gridCol w:w="1641"/>
        <w:gridCol w:w="90"/>
        <w:gridCol w:w="90"/>
        <w:gridCol w:w="170"/>
        <w:gridCol w:w="1322"/>
        <w:gridCol w:w="97"/>
        <w:gridCol w:w="97"/>
        <w:gridCol w:w="184"/>
        <w:gridCol w:w="1551"/>
        <w:gridCol w:w="141"/>
      </w:tblGrid>
      <w:tr>
        <w:trPr/>
        <w:tc>
          <w:tcPr>
            <w:tcW w:w="27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6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2"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441"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June 30, 2026</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251"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Six Months Ended June 30, 2026</w:t>
            </w:r>
            <w:r>
              <w:rPr/>
              <w:t xml:space="preserve"> </w:t>
            </w:r>
          </w:p>
        </w:tc>
        <w:tc>
          <w:tcPr>
            <w:tcW w:w="141" w:type="dxa"/>
            <w:tcBorders/>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399" w:type="dxa"/>
            <w:tcBorders/>
            <w:vAlign w:val="center"/>
          </w:tcPr>
          <w:p>
            <w:pPr>
              <w:pStyle w:val="TableContents"/>
              <w:bidi w:val="0"/>
              <w:spacing w:before="0" w:after="283"/>
              <w:jc w:val="center"/>
              <w:rPr>
                <w:b/>
              </w:rPr>
            </w:pPr>
            <w:r>
              <w:rPr>
                <w:b/>
              </w:rPr>
              <w:t xml:space="preserve">Campus </w:t>
            </w:r>
          </w:p>
        </w:tc>
        <w:tc>
          <w:tcPr>
            <w:tcW w:w="103" w:type="dxa"/>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6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322" w:type="dxa"/>
            <w:tcBorders/>
            <w:vAlign w:val="center"/>
          </w:tcPr>
          <w:p>
            <w:pPr>
              <w:pStyle w:val="TableContents"/>
              <w:bidi w:val="0"/>
              <w:spacing w:before="0" w:after="283"/>
              <w:jc w:val="center"/>
              <w:rPr>
                <w:b/>
              </w:rPr>
            </w:pPr>
            <w:r>
              <w:rPr>
                <w:b/>
              </w:rPr>
              <w:t xml:space="preserve">Campus </w:t>
            </w:r>
          </w:p>
        </w:tc>
        <w:tc>
          <w:tcPr>
            <w:tcW w:w="97" w:type="dxa"/>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2762"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99" w:type="dxa"/>
            <w:tcBorders>
              <w:bottom w:val="single" w:sz="12" w:space="0" w:color="000000"/>
            </w:tcBorders>
            <w:tcMar>
              <w:bottom w:w="28" w:type="dxa"/>
            </w:tcMar>
            <w:vAlign w:val="center"/>
          </w:tcPr>
          <w:p>
            <w:pPr>
              <w:pStyle w:val="TableContents"/>
              <w:bidi w:val="0"/>
              <w:spacing w:before="0" w:after="283"/>
              <w:jc w:val="center"/>
              <w:rPr/>
            </w:pPr>
            <w:r>
              <w:rPr>
                <w:b/>
              </w:rPr>
              <w:t>Operations</w:t>
            </w:r>
            <w:r>
              <w:rPr/>
              <w:t xml:space="preserve"> </w:t>
            </w:r>
          </w:p>
        </w:tc>
        <w:tc>
          <w:tcPr>
            <w:tcW w:w="103" w:type="dxa"/>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center"/>
              <w:rPr/>
            </w:pPr>
            <w:r>
              <w:rPr/>
              <w:t> </w:t>
            </w:r>
          </w:p>
        </w:tc>
        <w:tc>
          <w:tcPr>
            <w:tcW w:w="19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41" w:type="dxa"/>
            <w:tcBorders>
              <w:bottom w:val="single" w:sz="12" w:space="0" w:color="000000"/>
            </w:tcBorders>
            <w:tcMar>
              <w:bottom w:w="28" w:type="dxa"/>
            </w:tcMar>
            <w:vAlign w:val="center"/>
          </w:tcPr>
          <w:p>
            <w:pPr>
              <w:pStyle w:val="TableContents"/>
              <w:bidi w:val="0"/>
              <w:spacing w:before="0" w:after="283"/>
              <w:jc w:val="center"/>
              <w:rPr/>
            </w:pPr>
            <w:r>
              <w:rPr>
                <w:b/>
              </w:rPr>
              <w:t>Consolidated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22" w:type="dxa"/>
            <w:tcBorders>
              <w:bottom w:val="single" w:sz="12" w:space="0" w:color="000000"/>
            </w:tcBorders>
            <w:tcMar>
              <w:bottom w:w="28" w:type="dxa"/>
            </w:tcMar>
            <w:vAlign w:val="center"/>
          </w:tcPr>
          <w:p>
            <w:pPr>
              <w:pStyle w:val="TableContents"/>
              <w:bidi w:val="0"/>
              <w:spacing w:before="0" w:after="283"/>
              <w:jc w:val="center"/>
              <w:rPr/>
            </w:pPr>
            <w:r>
              <w:rPr>
                <w:b/>
              </w:rPr>
              <w:t>Operations</w:t>
            </w:r>
            <w:r>
              <w:rPr/>
              <w:t xml:space="preserve"> </w:t>
            </w:r>
          </w:p>
        </w:tc>
        <w:tc>
          <w:tcPr>
            <w:tcW w:w="97" w:type="dxa"/>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center"/>
              <w:rPr/>
            </w:pPr>
            <w:r>
              <w:rPr/>
              <w:t> </w:t>
            </w:r>
          </w:p>
        </w:tc>
        <w:tc>
          <w:tcPr>
            <w:tcW w:w="18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51" w:type="dxa"/>
            <w:tcBorders>
              <w:bottom w:val="single" w:sz="12" w:space="0" w:color="000000"/>
            </w:tcBorders>
            <w:tcMar>
              <w:bottom w:w="28" w:type="dxa"/>
            </w:tcMar>
            <w:vAlign w:val="center"/>
          </w:tcPr>
          <w:p>
            <w:pPr>
              <w:pStyle w:val="TableContents"/>
              <w:bidi w:val="0"/>
              <w:spacing w:before="0" w:after="283"/>
              <w:jc w:val="center"/>
              <w:rPr/>
            </w:pPr>
            <w:r>
              <w:rPr>
                <w:b/>
              </w:rPr>
              <w:t>Consolidated</w:t>
            </w:r>
            <w:r>
              <w:rPr/>
              <w:t xml:space="preserve"> </w:t>
            </w:r>
          </w:p>
        </w:tc>
        <w:tc>
          <w:tcPr>
            <w:tcW w:w="141" w:type="dxa"/>
            <w:tcBorders/>
            <w:vAlign w:val="center"/>
          </w:tcPr>
          <w:p>
            <w:pPr>
              <w:pStyle w:val="TableContents"/>
              <w:bidi w:val="0"/>
              <w:spacing w:before="0" w:after="283"/>
              <w:jc w:val="center"/>
              <w:rPr/>
            </w:pPr>
            <w:r>
              <w:rPr/>
              <w:t> </w:t>
            </w:r>
          </w:p>
        </w:tc>
      </w:tr>
      <w:tr>
        <w:trPr/>
        <w:tc>
          <w:tcPr>
            <w:tcW w:w="2762" w:type="dxa"/>
            <w:tcBorders/>
            <w:vAlign w:val="center"/>
          </w:tcPr>
          <w:p>
            <w:pPr>
              <w:pStyle w:val="TableContents"/>
              <w:bidi w:val="0"/>
              <w:spacing w:before="0" w:after="0"/>
              <w:jc w:val="left"/>
              <w:rPr/>
            </w:pPr>
            <w:r>
              <w:rPr>
                <w:b/>
              </w:rPr>
              <w:t>Timing of Revenue Recognition</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6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2"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2762" w:type="dxa"/>
            <w:tcBorders/>
            <w:shd w:fill="CCEEFF" w:val="clear"/>
            <w:vAlign w:val="center"/>
          </w:tcPr>
          <w:p>
            <w:pPr>
              <w:pStyle w:val="TableContents"/>
              <w:bidi w:val="0"/>
              <w:spacing w:before="0" w:after="0"/>
              <w:jc w:val="left"/>
              <w:rPr/>
            </w:pPr>
            <w:r>
              <w:rPr/>
              <w:t xml:space="preserve">Services transferred at a point in time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99" w:type="dxa"/>
            <w:tcBorders/>
            <w:shd w:fill="CCEEFF" w:val="clear"/>
            <w:vAlign w:val="center"/>
          </w:tcPr>
          <w:p>
            <w:pPr>
              <w:pStyle w:val="TableContents"/>
              <w:bidi w:val="0"/>
              <w:spacing w:before="0" w:after="283"/>
              <w:jc w:val="right"/>
              <w:rPr/>
            </w:pPr>
            <w:r>
              <w:rPr/>
              <w:t>8,667</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w:t>
            </w:r>
          </w:p>
        </w:tc>
        <w:tc>
          <w:tcPr>
            <w:tcW w:w="1641" w:type="dxa"/>
            <w:tcBorders/>
            <w:shd w:fill="CCEEFF" w:val="clear"/>
            <w:vAlign w:val="center"/>
          </w:tcPr>
          <w:p>
            <w:pPr>
              <w:pStyle w:val="TableContents"/>
              <w:bidi w:val="0"/>
              <w:spacing w:before="0" w:after="283"/>
              <w:jc w:val="right"/>
              <w:rPr/>
            </w:pPr>
            <w:r>
              <w:rPr/>
              <w:t>8,667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17,611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w:t>
            </w:r>
          </w:p>
        </w:tc>
        <w:tc>
          <w:tcPr>
            <w:tcW w:w="1551" w:type="dxa"/>
            <w:tcBorders/>
            <w:shd w:fill="CCEEFF" w:val="clear"/>
            <w:vAlign w:val="center"/>
          </w:tcPr>
          <w:p>
            <w:pPr>
              <w:pStyle w:val="TableContents"/>
              <w:bidi w:val="0"/>
              <w:spacing w:before="0" w:after="283"/>
              <w:jc w:val="right"/>
              <w:rPr/>
            </w:pPr>
            <w:r>
              <w:rPr/>
              <w:t>17,611</w:t>
            </w:r>
          </w:p>
        </w:tc>
        <w:tc>
          <w:tcPr>
            <w:tcW w:w="141" w:type="dxa"/>
            <w:tcBorders/>
            <w:shd w:fill="CCEEFF" w:val="clear"/>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0"/>
              <w:jc w:val="left"/>
              <w:rPr/>
            </w:pPr>
            <w:r>
              <w:rPr/>
              <w:t xml:space="preserve">Services transferred over time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399" w:type="dxa"/>
            <w:tcBorders>
              <w:bottom w:val="single" w:sz="12" w:space="0" w:color="000000"/>
            </w:tcBorders>
            <w:tcMar>
              <w:bottom w:w="28" w:type="dxa"/>
            </w:tcMar>
            <w:vAlign w:val="center"/>
          </w:tcPr>
          <w:p>
            <w:pPr>
              <w:pStyle w:val="TableContents"/>
              <w:bidi w:val="0"/>
              <w:spacing w:before="0" w:after="283"/>
              <w:jc w:val="right"/>
              <w:rPr/>
            </w:pPr>
            <w:r>
              <w:rPr/>
              <w:t>133,893</w:t>
            </w:r>
          </w:p>
        </w:tc>
        <w:tc>
          <w:tcPr>
            <w:tcW w:w="103" w:type="dxa"/>
            <w:tcBorders>
              <w:bottom w:val="single" w:sz="2" w:space="0" w:color="000000"/>
            </w:tcBorders>
            <w:tcMar>
              <w:bottom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right"/>
              <w:rPr/>
            </w:pPr>
            <w:r>
              <w:rPr/>
              <w:t> </w:t>
            </w:r>
          </w:p>
        </w:tc>
        <w:tc>
          <w:tcPr>
            <w:tcW w:w="19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641" w:type="dxa"/>
            <w:tcBorders>
              <w:bottom w:val="single" w:sz="12" w:space="0" w:color="000000"/>
            </w:tcBorders>
            <w:tcMar>
              <w:bottom w:w="28" w:type="dxa"/>
            </w:tcMar>
            <w:vAlign w:val="center"/>
          </w:tcPr>
          <w:p>
            <w:pPr>
              <w:pStyle w:val="TableContents"/>
              <w:bidi w:val="0"/>
              <w:spacing w:before="0" w:after="283"/>
              <w:jc w:val="right"/>
              <w:rPr/>
            </w:pPr>
            <w:r>
              <w:rPr/>
              <w:t>133,893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322" w:type="dxa"/>
            <w:tcBorders>
              <w:bottom w:val="single" w:sz="12" w:space="0" w:color="000000"/>
            </w:tcBorders>
            <w:tcMar>
              <w:bottom w:w="28" w:type="dxa"/>
            </w:tcMar>
            <w:vAlign w:val="center"/>
          </w:tcPr>
          <w:p>
            <w:pPr>
              <w:pStyle w:val="TableContents"/>
              <w:bidi w:val="0"/>
              <w:spacing w:before="0" w:after="283"/>
              <w:jc w:val="right"/>
              <w:rPr/>
            </w:pPr>
            <w:r>
              <w:rPr/>
              <w:t>268,907</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right"/>
              <w:rPr/>
            </w:pPr>
            <w:r>
              <w:rPr/>
              <w:t> </w:t>
            </w:r>
          </w:p>
        </w:tc>
        <w:tc>
          <w:tcPr>
            <w:tcW w:w="184" w:type="dxa"/>
            <w:tcBorders>
              <w:bottom w:val="single" w:sz="12" w:space="0" w:color="000000"/>
            </w:tcBorders>
            <w:tcMar>
              <w:bottom w:w="28" w:type="dxa"/>
            </w:tcMar>
            <w:vAlign w:val="center"/>
          </w:tcPr>
          <w:p>
            <w:pPr>
              <w:pStyle w:val="TableContents"/>
              <w:bidi w:val="0"/>
              <w:spacing w:before="0" w:after="283"/>
              <w:jc w:val="right"/>
              <w:rPr/>
            </w:pPr>
            <w:r>
              <w:rPr/>
              <w:t> </w:t>
            </w:r>
          </w:p>
        </w:tc>
        <w:tc>
          <w:tcPr>
            <w:tcW w:w="1551" w:type="dxa"/>
            <w:tcBorders>
              <w:bottom w:val="single" w:sz="12" w:space="0" w:color="000000"/>
            </w:tcBorders>
            <w:tcMar>
              <w:bottom w:w="28" w:type="dxa"/>
            </w:tcMar>
            <w:vAlign w:val="center"/>
          </w:tcPr>
          <w:p>
            <w:pPr>
              <w:pStyle w:val="TableContents"/>
              <w:bidi w:val="0"/>
              <w:spacing w:before="0" w:after="283"/>
              <w:jc w:val="right"/>
              <w:rPr/>
            </w:pPr>
            <w:r>
              <w:rPr/>
              <w:t>268,907</w:t>
            </w:r>
          </w:p>
        </w:tc>
        <w:tc>
          <w:tcPr>
            <w:tcW w:w="14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62" w:type="dxa"/>
            <w:tcBorders/>
            <w:shd w:fill="CCEEFF" w:val="clear"/>
            <w:vAlign w:val="center"/>
          </w:tcPr>
          <w:p>
            <w:pPr>
              <w:pStyle w:val="TableContents"/>
              <w:bidi w:val="0"/>
              <w:spacing w:before="0" w:after="0"/>
              <w:jc w:val="left"/>
              <w:rPr/>
            </w:pPr>
            <w:r>
              <w:rPr>
                <w:b/>
              </w:rPr>
              <w:t>Total revenues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399" w:type="dxa"/>
            <w:tcBorders>
              <w:bottom w:val="double" w:sz="8" w:space="0" w:color="000000"/>
            </w:tcBorders>
            <w:shd w:fill="CCEEFF" w:val="clear"/>
            <w:tcMar>
              <w:bottom w:w="28" w:type="dxa"/>
            </w:tcMar>
            <w:vAlign w:val="center"/>
          </w:tcPr>
          <w:p>
            <w:pPr>
              <w:pStyle w:val="TableContents"/>
              <w:bidi w:val="0"/>
              <w:spacing w:before="0" w:after="283"/>
              <w:jc w:val="right"/>
              <w:rPr/>
            </w:pPr>
            <w:r>
              <w:rPr/>
              <w:t>142,560</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right"/>
              <w:rPr/>
            </w:pPr>
            <w:r>
              <w:rPr/>
              <w:t> </w:t>
            </w:r>
          </w:p>
        </w:tc>
        <w:tc>
          <w:tcPr>
            <w:tcW w:w="195"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641" w:type="dxa"/>
            <w:tcBorders>
              <w:bottom w:val="double" w:sz="8" w:space="0" w:color="000000"/>
            </w:tcBorders>
            <w:shd w:fill="CCEEFF" w:val="clear"/>
            <w:tcMar>
              <w:bottom w:w="28" w:type="dxa"/>
            </w:tcMar>
            <w:vAlign w:val="center"/>
          </w:tcPr>
          <w:p>
            <w:pPr>
              <w:pStyle w:val="TableContents"/>
              <w:bidi w:val="0"/>
              <w:spacing w:before="0" w:after="283"/>
              <w:jc w:val="right"/>
              <w:rPr/>
            </w:pPr>
            <w:r>
              <w:rPr/>
              <w:t>142,560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322" w:type="dxa"/>
            <w:tcBorders>
              <w:bottom w:val="double" w:sz="8" w:space="0" w:color="000000"/>
            </w:tcBorders>
            <w:shd w:fill="CCEEFF" w:val="clear"/>
            <w:tcMar>
              <w:bottom w:w="28" w:type="dxa"/>
            </w:tcMar>
            <w:vAlign w:val="center"/>
          </w:tcPr>
          <w:p>
            <w:pPr>
              <w:pStyle w:val="TableContents"/>
              <w:bidi w:val="0"/>
              <w:spacing w:before="0" w:after="283"/>
              <w:jc w:val="right"/>
              <w:rPr/>
            </w:pPr>
            <w:r>
              <w:rPr/>
              <w:t>286,518</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right"/>
              <w:rPr/>
            </w:pPr>
            <w:r>
              <w:rPr/>
              <w:t> </w:t>
            </w:r>
          </w:p>
        </w:tc>
        <w:tc>
          <w:tcPr>
            <w:tcW w:w="184"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551" w:type="dxa"/>
            <w:tcBorders>
              <w:bottom w:val="double" w:sz="8" w:space="0" w:color="000000"/>
            </w:tcBorders>
            <w:shd w:fill="CCEEFF" w:val="clear"/>
            <w:tcMar>
              <w:bottom w:w="28" w:type="dxa"/>
            </w:tcMar>
            <w:vAlign w:val="center"/>
          </w:tcPr>
          <w:p>
            <w:pPr>
              <w:pStyle w:val="TableContents"/>
              <w:bidi w:val="0"/>
              <w:spacing w:before="0" w:after="283"/>
              <w:jc w:val="right"/>
              <w:rPr/>
            </w:pPr>
            <w:r>
              <w:rPr/>
              <w:t>286,518</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762"/>
        <w:gridCol w:w="90"/>
        <w:gridCol w:w="170"/>
        <w:gridCol w:w="1399"/>
        <w:gridCol w:w="103"/>
        <w:gridCol w:w="103"/>
        <w:gridCol w:w="195"/>
        <w:gridCol w:w="1641"/>
        <w:gridCol w:w="90"/>
        <w:gridCol w:w="90"/>
        <w:gridCol w:w="170"/>
        <w:gridCol w:w="1322"/>
        <w:gridCol w:w="97"/>
        <w:gridCol w:w="97"/>
        <w:gridCol w:w="184"/>
        <w:gridCol w:w="1551"/>
        <w:gridCol w:w="141"/>
      </w:tblGrid>
      <w:tr>
        <w:trPr/>
        <w:tc>
          <w:tcPr>
            <w:tcW w:w="27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6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2"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441"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 June 30, 2025</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251"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Six Months Ended June 30, 2025</w:t>
            </w:r>
            <w:r>
              <w:rPr/>
              <w:t xml:space="preserve"> </w:t>
            </w:r>
          </w:p>
        </w:tc>
        <w:tc>
          <w:tcPr>
            <w:tcW w:w="141" w:type="dxa"/>
            <w:tcBorders/>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399" w:type="dxa"/>
            <w:tcBorders/>
            <w:vAlign w:val="center"/>
          </w:tcPr>
          <w:p>
            <w:pPr>
              <w:pStyle w:val="TableContents"/>
              <w:bidi w:val="0"/>
              <w:spacing w:before="0" w:after="283"/>
              <w:jc w:val="center"/>
              <w:rPr>
                <w:b/>
              </w:rPr>
            </w:pPr>
            <w:r>
              <w:rPr>
                <w:b/>
              </w:rPr>
              <w:t xml:space="preserve">Campus </w:t>
            </w:r>
          </w:p>
        </w:tc>
        <w:tc>
          <w:tcPr>
            <w:tcW w:w="103" w:type="dxa"/>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6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322" w:type="dxa"/>
            <w:tcBorders/>
            <w:vAlign w:val="center"/>
          </w:tcPr>
          <w:p>
            <w:pPr>
              <w:pStyle w:val="TableContents"/>
              <w:bidi w:val="0"/>
              <w:spacing w:before="0" w:after="283"/>
              <w:jc w:val="center"/>
              <w:rPr>
                <w:b/>
              </w:rPr>
            </w:pPr>
            <w:r>
              <w:rPr>
                <w:b/>
              </w:rPr>
              <w:t xml:space="preserve">Campus </w:t>
            </w:r>
          </w:p>
        </w:tc>
        <w:tc>
          <w:tcPr>
            <w:tcW w:w="97" w:type="dxa"/>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2762"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99" w:type="dxa"/>
            <w:tcBorders>
              <w:bottom w:val="single" w:sz="12" w:space="0" w:color="000000"/>
            </w:tcBorders>
            <w:tcMar>
              <w:bottom w:w="28" w:type="dxa"/>
            </w:tcMar>
            <w:vAlign w:val="center"/>
          </w:tcPr>
          <w:p>
            <w:pPr>
              <w:pStyle w:val="TableContents"/>
              <w:bidi w:val="0"/>
              <w:spacing w:before="0" w:after="283"/>
              <w:jc w:val="center"/>
              <w:rPr/>
            </w:pPr>
            <w:r>
              <w:rPr>
                <w:b/>
              </w:rPr>
              <w:t>Operations</w:t>
            </w:r>
            <w:r>
              <w:rPr/>
              <w:t xml:space="preserve"> </w:t>
            </w:r>
          </w:p>
        </w:tc>
        <w:tc>
          <w:tcPr>
            <w:tcW w:w="103" w:type="dxa"/>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center"/>
              <w:rPr/>
            </w:pPr>
            <w:r>
              <w:rPr/>
              <w:t> </w:t>
            </w:r>
          </w:p>
        </w:tc>
        <w:tc>
          <w:tcPr>
            <w:tcW w:w="19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41" w:type="dxa"/>
            <w:tcBorders>
              <w:bottom w:val="single" w:sz="12" w:space="0" w:color="000000"/>
            </w:tcBorders>
            <w:tcMar>
              <w:bottom w:w="28" w:type="dxa"/>
            </w:tcMar>
            <w:vAlign w:val="center"/>
          </w:tcPr>
          <w:p>
            <w:pPr>
              <w:pStyle w:val="TableContents"/>
              <w:bidi w:val="0"/>
              <w:spacing w:before="0" w:after="283"/>
              <w:jc w:val="center"/>
              <w:rPr/>
            </w:pPr>
            <w:r>
              <w:rPr>
                <w:b/>
              </w:rPr>
              <w:t>Consolidated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22" w:type="dxa"/>
            <w:tcBorders>
              <w:bottom w:val="single" w:sz="12" w:space="0" w:color="000000"/>
            </w:tcBorders>
            <w:tcMar>
              <w:bottom w:w="28" w:type="dxa"/>
            </w:tcMar>
            <w:vAlign w:val="center"/>
          </w:tcPr>
          <w:p>
            <w:pPr>
              <w:pStyle w:val="TableContents"/>
              <w:bidi w:val="0"/>
              <w:spacing w:before="0" w:after="283"/>
              <w:jc w:val="center"/>
              <w:rPr/>
            </w:pPr>
            <w:r>
              <w:rPr>
                <w:b/>
              </w:rPr>
              <w:t>Operations</w:t>
            </w:r>
            <w:r>
              <w:rPr/>
              <w:t xml:space="preserve"> </w:t>
            </w:r>
          </w:p>
        </w:tc>
        <w:tc>
          <w:tcPr>
            <w:tcW w:w="97" w:type="dxa"/>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center"/>
              <w:rPr/>
            </w:pPr>
            <w:r>
              <w:rPr/>
              <w:t> </w:t>
            </w:r>
          </w:p>
        </w:tc>
        <w:tc>
          <w:tcPr>
            <w:tcW w:w="18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51" w:type="dxa"/>
            <w:tcBorders>
              <w:bottom w:val="single" w:sz="12" w:space="0" w:color="000000"/>
            </w:tcBorders>
            <w:tcMar>
              <w:bottom w:w="28" w:type="dxa"/>
            </w:tcMar>
            <w:vAlign w:val="center"/>
          </w:tcPr>
          <w:p>
            <w:pPr>
              <w:pStyle w:val="TableContents"/>
              <w:bidi w:val="0"/>
              <w:spacing w:before="0" w:after="283"/>
              <w:jc w:val="center"/>
              <w:rPr/>
            </w:pPr>
            <w:r>
              <w:rPr>
                <w:b/>
              </w:rPr>
              <w:t>Consolidated</w:t>
            </w:r>
            <w:r>
              <w:rPr/>
              <w:t xml:space="preserve"> </w:t>
            </w:r>
          </w:p>
        </w:tc>
        <w:tc>
          <w:tcPr>
            <w:tcW w:w="141" w:type="dxa"/>
            <w:tcBorders/>
            <w:vAlign w:val="center"/>
          </w:tcPr>
          <w:p>
            <w:pPr>
              <w:pStyle w:val="TableContents"/>
              <w:bidi w:val="0"/>
              <w:spacing w:before="0" w:after="283"/>
              <w:jc w:val="center"/>
              <w:rPr/>
            </w:pPr>
            <w:r>
              <w:rPr/>
              <w:t> </w:t>
            </w:r>
          </w:p>
        </w:tc>
      </w:tr>
      <w:tr>
        <w:trPr/>
        <w:tc>
          <w:tcPr>
            <w:tcW w:w="2762" w:type="dxa"/>
            <w:tcBorders/>
            <w:vAlign w:val="center"/>
          </w:tcPr>
          <w:p>
            <w:pPr>
              <w:pStyle w:val="TableContents"/>
              <w:bidi w:val="0"/>
              <w:spacing w:before="0" w:after="0"/>
              <w:jc w:val="left"/>
              <w:rPr/>
            </w:pPr>
            <w:r>
              <w:rPr>
                <w:b/>
              </w:rPr>
              <w:t>Timing of Revenue Recognition</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6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2"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2762" w:type="dxa"/>
            <w:tcBorders/>
            <w:shd w:fill="CCEEFF" w:val="clear"/>
            <w:vAlign w:val="center"/>
          </w:tcPr>
          <w:p>
            <w:pPr>
              <w:pStyle w:val="TableContents"/>
              <w:bidi w:val="0"/>
              <w:spacing w:before="0" w:after="0"/>
              <w:jc w:val="left"/>
              <w:rPr/>
            </w:pPr>
            <w:r>
              <w:rPr/>
              <w:t xml:space="preserve">Services transferred at a point in time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99" w:type="dxa"/>
            <w:tcBorders/>
            <w:shd w:fill="CCEEFF" w:val="clear"/>
            <w:vAlign w:val="center"/>
          </w:tcPr>
          <w:p>
            <w:pPr>
              <w:pStyle w:val="TableContents"/>
              <w:bidi w:val="0"/>
              <w:spacing w:before="0" w:after="283"/>
              <w:jc w:val="right"/>
              <w:rPr/>
            </w:pPr>
            <w:r>
              <w:rPr/>
              <w:t>5,598</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w:t>
            </w:r>
          </w:p>
        </w:tc>
        <w:tc>
          <w:tcPr>
            <w:tcW w:w="1641" w:type="dxa"/>
            <w:tcBorders/>
            <w:shd w:fill="CCEEFF" w:val="clear"/>
            <w:vAlign w:val="center"/>
          </w:tcPr>
          <w:p>
            <w:pPr>
              <w:pStyle w:val="TableContents"/>
              <w:bidi w:val="0"/>
              <w:spacing w:before="0" w:after="283"/>
              <w:jc w:val="right"/>
              <w:rPr/>
            </w:pPr>
            <w:r>
              <w:rPr/>
              <w:t>5,598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12,599</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w:t>
            </w:r>
          </w:p>
        </w:tc>
        <w:tc>
          <w:tcPr>
            <w:tcW w:w="1551" w:type="dxa"/>
            <w:tcBorders/>
            <w:shd w:fill="CCEEFF" w:val="clear"/>
            <w:vAlign w:val="center"/>
          </w:tcPr>
          <w:p>
            <w:pPr>
              <w:pStyle w:val="TableContents"/>
              <w:bidi w:val="0"/>
              <w:spacing w:before="0" w:after="283"/>
              <w:jc w:val="right"/>
              <w:rPr/>
            </w:pPr>
            <w:r>
              <w:rPr/>
              <w:t>12,599</w:t>
            </w:r>
          </w:p>
        </w:tc>
        <w:tc>
          <w:tcPr>
            <w:tcW w:w="141" w:type="dxa"/>
            <w:tcBorders/>
            <w:shd w:fill="CCEEFF" w:val="clear"/>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0"/>
              <w:jc w:val="left"/>
              <w:rPr/>
            </w:pPr>
            <w:r>
              <w:rPr/>
              <w:t xml:space="preserve">Services transferred over time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399" w:type="dxa"/>
            <w:tcBorders>
              <w:bottom w:val="single" w:sz="12" w:space="0" w:color="000000"/>
            </w:tcBorders>
            <w:tcMar>
              <w:bottom w:w="28" w:type="dxa"/>
            </w:tcMar>
            <w:vAlign w:val="center"/>
          </w:tcPr>
          <w:p>
            <w:pPr>
              <w:pStyle w:val="TableContents"/>
              <w:bidi w:val="0"/>
              <w:spacing w:before="0" w:after="283"/>
              <w:jc w:val="right"/>
              <w:rPr/>
            </w:pPr>
            <w:r>
              <w:rPr/>
              <w:t>110,876</w:t>
            </w:r>
          </w:p>
        </w:tc>
        <w:tc>
          <w:tcPr>
            <w:tcW w:w="103" w:type="dxa"/>
            <w:tcBorders>
              <w:bottom w:val="single" w:sz="2" w:space="0" w:color="000000"/>
            </w:tcBorders>
            <w:tcMar>
              <w:bottom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right"/>
              <w:rPr/>
            </w:pPr>
            <w:r>
              <w:rPr/>
              <w:t> </w:t>
            </w:r>
          </w:p>
        </w:tc>
        <w:tc>
          <w:tcPr>
            <w:tcW w:w="19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641" w:type="dxa"/>
            <w:tcBorders>
              <w:bottom w:val="single" w:sz="12" w:space="0" w:color="000000"/>
            </w:tcBorders>
            <w:tcMar>
              <w:bottom w:w="28" w:type="dxa"/>
            </w:tcMar>
            <w:vAlign w:val="center"/>
          </w:tcPr>
          <w:p>
            <w:pPr>
              <w:pStyle w:val="TableContents"/>
              <w:bidi w:val="0"/>
              <w:spacing w:before="0" w:after="283"/>
              <w:jc w:val="right"/>
              <w:rPr/>
            </w:pPr>
            <w:r>
              <w:rPr/>
              <w:t>110,876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322" w:type="dxa"/>
            <w:tcBorders>
              <w:bottom w:val="single" w:sz="12" w:space="0" w:color="000000"/>
            </w:tcBorders>
            <w:tcMar>
              <w:bottom w:w="28" w:type="dxa"/>
            </w:tcMar>
            <w:vAlign w:val="center"/>
          </w:tcPr>
          <w:p>
            <w:pPr>
              <w:pStyle w:val="TableContents"/>
              <w:bidi w:val="0"/>
              <w:spacing w:before="0" w:after="283"/>
              <w:jc w:val="right"/>
              <w:rPr/>
            </w:pPr>
            <w:r>
              <w:rPr/>
              <w:t>221,381</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right"/>
              <w:rPr/>
            </w:pPr>
            <w:r>
              <w:rPr/>
              <w:t> </w:t>
            </w:r>
          </w:p>
        </w:tc>
        <w:tc>
          <w:tcPr>
            <w:tcW w:w="184" w:type="dxa"/>
            <w:tcBorders>
              <w:bottom w:val="single" w:sz="12" w:space="0" w:color="000000"/>
            </w:tcBorders>
            <w:tcMar>
              <w:bottom w:w="28" w:type="dxa"/>
            </w:tcMar>
            <w:vAlign w:val="center"/>
          </w:tcPr>
          <w:p>
            <w:pPr>
              <w:pStyle w:val="TableContents"/>
              <w:bidi w:val="0"/>
              <w:spacing w:before="0" w:after="283"/>
              <w:jc w:val="right"/>
              <w:rPr/>
            </w:pPr>
            <w:r>
              <w:rPr/>
              <w:t> </w:t>
            </w:r>
          </w:p>
        </w:tc>
        <w:tc>
          <w:tcPr>
            <w:tcW w:w="1551" w:type="dxa"/>
            <w:tcBorders>
              <w:bottom w:val="single" w:sz="12" w:space="0" w:color="000000"/>
            </w:tcBorders>
            <w:tcMar>
              <w:bottom w:w="28" w:type="dxa"/>
            </w:tcMar>
            <w:vAlign w:val="center"/>
          </w:tcPr>
          <w:p>
            <w:pPr>
              <w:pStyle w:val="TableContents"/>
              <w:bidi w:val="0"/>
              <w:spacing w:before="0" w:after="283"/>
              <w:jc w:val="right"/>
              <w:rPr/>
            </w:pPr>
            <w:r>
              <w:rPr/>
              <w:t>221,381</w:t>
            </w:r>
          </w:p>
        </w:tc>
        <w:tc>
          <w:tcPr>
            <w:tcW w:w="14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62" w:type="dxa"/>
            <w:tcBorders/>
            <w:shd w:fill="CCEEFF" w:val="clear"/>
            <w:vAlign w:val="center"/>
          </w:tcPr>
          <w:p>
            <w:pPr>
              <w:pStyle w:val="TableContents"/>
              <w:bidi w:val="0"/>
              <w:spacing w:before="0" w:after="0"/>
              <w:jc w:val="left"/>
              <w:rPr/>
            </w:pPr>
            <w:r>
              <w:rPr>
                <w:b/>
              </w:rPr>
              <w:t>Total revenues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399" w:type="dxa"/>
            <w:tcBorders>
              <w:bottom w:val="double" w:sz="8" w:space="0" w:color="000000"/>
            </w:tcBorders>
            <w:shd w:fill="CCEEFF" w:val="clear"/>
            <w:tcMar>
              <w:bottom w:w="28" w:type="dxa"/>
            </w:tcMar>
            <w:vAlign w:val="center"/>
          </w:tcPr>
          <w:p>
            <w:pPr>
              <w:pStyle w:val="TableContents"/>
              <w:bidi w:val="0"/>
              <w:spacing w:before="0" w:after="283"/>
              <w:jc w:val="right"/>
              <w:rPr/>
            </w:pPr>
            <w:r>
              <w:rPr/>
              <w:t>116,474</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right"/>
              <w:rPr/>
            </w:pPr>
            <w:r>
              <w:rPr/>
              <w:t> </w:t>
            </w:r>
          </w:p>
        </w:tc>
        <w:tc>
          <w:tcPr>
            <w:tcW w:w="195"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641" w:type="dxa"/>
            <w:tcBorders>
              <w:bottom w:val="double" w:sz="8" w:space="0" w:color="000000"/>
            </w:tcBorders>
            <w:shd w:fill="CCEEFF" w:val="clear"/>
            <w:tcMar>
              <w:bottom w:w="28" w:type="dxa"/>
            </w:tcMar>
            <w:vAlign w:val="center"/>
          </w:tcPr>
          <w:p>
            <w:pPr>
              <w:pStyle w:val="TableContents"/>
              <w:bidi w:val="0"/>
              <w:spacing w:before="0" w:after="283"/>
              <w:jc w:val="right"/>
              <w:rPr/>
            </w:pPr>
            <w:r>
              <w:rPr/>
              <w:t>116,474</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322" w:type="dxa"/>
            <w:tcBorders>
              <w:bottom w:val="double" w:sz="8" w:space="0" w:color="000000"/>
            </w:tcBorders>
            <w:shd w:fill="CCEEFF" w:val="clear"/>
            <w:tcMar>
              <w:bottom w:w="28" w:type="dxa"/>
            </w:tcMar>
            <w:vAlign w:val="center"/>
          </w:tcPr>
          <w:p>
            <w:pPr>
              <w:pStyle w:val="TableContents"/>
              <w:bidi w:val="0"/>
              <w:spacing w:before="0" w:after="283"/>
              <w:jc w:val="right"/>
              <w:rPr/>
            </w:pPr>
            <w:r>
              <w:rPr/>
              <w:t>233,980</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right"/>
              <w:rPr/>
            </w:pPr>
            <w:r>
              <w:rPr/>
              <w:t> </w:t>
            </w:r>
          </w:p>
        </w:tc>
        <w:tc>
          <w:tcPr>
            <w:tcW w:w="184"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551" w:type="dxa"/>
            <w:tcBorders>
              <w:bottom w:val="double" w:sz="8" w:space="0" w:color="000000"/>
            </w:tcBorders>
            <w:shd w:fill="CCEEFF" w:val="clear"/>
            <w:tcMar>
              <w:bottom w:w="28" w:type="dxa"/>
            </w:tcMar>
            <w:vAlign w:val="center"/>
          </w:tcPr>
          <w:p>
            <w:pPr>
              <w:pStyle w:val="TableContents"/>
              <w:bidi w:val="0"/>
              <w:spacing w:before="0" w:after="283"/>
              <w:jc w:val="right"/>
              <w:rPr/>
            </w:pPr>
            <w:r>
              <w:rPr/>
              <w:t>233,980</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540"/>
        <w:jc w:val="left"/>
        <w:rPr>
          <w:rFonts w:ascii="Times New Roman" w:hAnsi="Times New Roman"/>
          <w:sz w:val="20"/>
        </w:rPr>
      </w:pPr>
      <w:r>
        <w:rPr>
          <w:rFonts w:ascii="Times New Roman" w:hAnsi="Times New Roman"/>
          <w:b/>
          <w:sz w:val="20"/>
        </w:rPr>
        <w:t>LEASES</w:t>
      </w:r>
      <w:r>
        <w:rPr>
          <w:rFonts w:ascii="Times New Roman" w:hAnsi="Times New Roman"/>
          <w:sz w:val="20"/>
        </w:rPr>
        <w:t xml:space="preserve">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342900" cy="146685"/>
                <wp:effectExtent l="0" t="0" r="0" b="0"/>
                <wp:wrapSquare wrapText="right"/>
                <wp:docPr id="28" name="Frame28"/>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sz w:val="20"/>
                              </w:rPr>
                            </w:pPr>
                            <w:r>
                              <w:rPr>
                                <w:b/>
                                <w:sz w:val="20"/>
                              </w:rPr>
                              <w:t>4.</w:t>
                            </w:r>
                            <w:r>
                              <w:rPr>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4.</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Company enters into contracts to utilize office space, educational facilities, and various items of equipment under lease agreements and accounts for them in accordance with ASC 842, </w:t>
      </w:r>
      <w:r>
        <w:rPr>
          <w:rFonts w:ascii="Times New Roman" w:hAnsi="Times New Roman"/>
          <w:i/>
          <w:sz w:val="20"/>
        </w:rPr>
        <w:t xml:space="preserve">Leases </w:t>
      </w:r>
      <w:r>
        <w:rPr>
          <w:rFonts w:ascii="Times New Roman" w:hAnsi="Times New Roman"/>
          <w:sz w:val="20"/>
        </w:rPr>
        <w:t xml:space="preserve">(“ASC 842”). To determine whether a contract contains a lease, the Company assesses whether there is an identified asset and whether the Company has the right to control its use throughout the period of use. The Company classifies leases as either operating or finance leases at the lease commencement date in accordance with ASC 842. As required under ASC 842, the Company recognizes a ROU asset and a corresponding lease liability on the balance sheet, measured at the present value of lease payments over the term of the lease. An operating lease ROU asset represents the Company’s right to use the underlying asset during the lease term and the corresponding lease liability represents its obligation to make lease payments. Operating lease ROU assets and liabilities are amortized over the lease term, with lease expense recognized on a straight-line basis within operating expenses in the Condensed Consolidated Statements of Operations. Finance lease arrangements result in separate recognition of interest expense on the lease liability using the effective interest method and amortization expense of the ROU asset on a straight-line basis over the lease term, in addition to principal payments.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the Company’s operating leases do not provide an implicit rate, the Company uses an incremental borrowing rate based on the information available on the commencement date in determining the present value of lease payments. We estimate the incremental borrowing rate based on a yield curve analysis, utilizing the interest rate derived from the fair value analysis of our credit facility and adjusting it for factors that appropriately reflect the profile of secured borrowing over the expected term of the lease. The operating lease ROU assets include any lease payments made prior to the rent commencement date and exclude lease incentives. Our leases have remaining lease terms of 1 year to 20 years. Lease terms may include options to extend the lease term used in determining the lease obligation when it is reasonably certain that the Company will exercise that option. Lease expense for lease payments is recognized on a straight-line basis over the lease term for operating leases.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components of lease cost and classification on the Condensed Consolidated Statements of Operations: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640"/>
        <w:gridCol w:w="90"/>
        <w:gridCol w:w="3075"/>
        <w:gridCol w:w="107"/>
        <w:gridCol w:w="201"/>
        <w:gridCol w:w="701"/>
        <w:gridCol w:w="107"/>
        <w:gridCol w:w="107"/>
        <w:gridCol w:w="201"/>
        <w:gridCol w:w="701"/>
        <w:gridCol w:w="107"/>
        <w:gridCol w:w="90"/>
        <w:gridCol w:w="170"/>
        <w:gridCol w:w="710"/>
        <w:gridCol w:w="90"/>
        <w:gridCol w:w="90"/>
        <w:gridCol w:w="170"/>
        <w:gridCol w:w="710"/>
        <w:gridCol w:w="138"/>
      </w:tblGrid>
      <w:tr>
        <w:trPr/>
        <w:tc>
          <w:tcPr>
            <w:tcW w:w="2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2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c>
          <w:tcPr>
            <w:tcW w:w="2232" w:type="dxa"/>
            <w:gridSpan w:val="8"/>
            <w:tcBorders/>
            <w:vAlign w:val="center"/>
          </w:tcPr>
          <w:p>
            <w:pPr>
              <w:pStyle w:val="TableContents"/>
              <w:bidi w:val="0"/>
              <w:spacing w:before="0" w:after="283"/>
              <w:jc w:val="center"/>
              <w:rPr>
                <w:b/>
              </w:rPr>
            </w:pPr>
            <w:r>
              <w:rPr>
                <w:b/>
              </w:rPr>
              <w:t xml:space="preserve">Three Months Ended </w:t>
            </w:r>
          </w:p>
        </w:tc>
        <w:tc>
          <w:tcPr>
            <w:tcW w:w="2168" w:type="dxa"/>
            <w:gridSpan w:val="8"/>
            <w:tcBorders/>
            <w:vAlign w:val="center"/>
          </w:tcPr>
          <w:p>
            <w:pPr>
              <w:pStyle w:val="TableContents"/>
              <w:bidi w:val="0"/>
              <w:spacing w:before="0" w:after="283"/>
              <w:jc w:val="center"/>
              <w:rPr>
                <w:b/>
              </w:rPr>
            </w:pPr>
            <w:r>
              <w:rPr>
                <w:b/>
              </w:rPr>
              <w:t xml:space="preserve">Six Months Ended </w:t>
            </w:r>
          </w:p>
        </w:tc>
      </w:tr>
      <w:tr>
        <w:trPr/>
        <w:tc>
          <w:tcPr>
            <w:tcW w:w="2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center"/>
              <w:rPr/>
            </w:pPr>
            <w:r>
              <w:rPr/>
              <w:t> </w:t>
            </w:r>
          </w:p>
        </w:tc>
        <w:tc>
          <w:tcPr>
            <w:tcW w:w="201"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817"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June 30,</w:t>
            </w:r>
            <w:r>
              <w:rPr/>
              <w:t xml:space="preserve"> </w:t>
            </w:r>
          </w:p>
        </w:tc>
        <w:tc>
          <w:tcPr>
            <w:tcW w:w="10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70"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June 30,</w:t>
            </w:r>
            <w:r>
              <w:rPr/>
              <w:t xml:space="preserve"> </w:t>
            </w:r>
          </w:p>
        </w:tc>
        <w:tc>
          <w:tcPr>
            <w:tcW w:w="138" w:type="dxa"/>
            <w:tcBorders/>
            <w:vAlign w:val="center"/>
          </w:tcPr>
          <w:p>
            <w:pPr>
              <w:pStyle w:val="TableContents"/>
              <w:bidi w:val="0"/>
              <w:spacing w:before="0" w:after="283"/>
              <w:jc w:val="center"/>
              <w:rPr/>
            </w:pPr>
            <w:r>
              <w:rPr/>
              <w:t> </w:t>
            </w:r>
          </w:p>
        </w:tc>
      </w:tr>
      <w:tr>
        <w:trPr/>
        <w:tc>
          <w:tcPr>
            <w:tcW w:w="2640" w:type="dxa"/>
            <w:tcBorders>
              <w:bottom w:val="single" w:sz="12" w:space="0" w:color="000000"/>
            </w:tcBorders>
            <w:tcMar>
              <w:bottom w:w="28" w:type="dxa"/>
            </w:tcMar>
            <w:vAlign w:val="center"/>
          </w:tcPr>
          <w:p>
            <w:pPr>
              <w:pStyle w:val="TableContents"/>
              <w:bidi w:val="0"/>
              <w:spacing w:before="0" w:after="0"/>
              <w:jc w:val="left"/>
              <w:rPr>
                <w:b/>
                <w:i/>
              </w:rPr>
            </w:pPr>
            <w:r>
              <w:rPr>
                <w:b/>
                <w:i/>
              </w:rPr>
              <w:t xml:space="preserve">in thousands </w:t>
            </w:r>
          </w:p>
        </w:tc>
        <w:tc>
          <w:tcPr>
            <w:tcW w:w="90" w:type="dxa"/>
            <w:tcBorders/>
            <w:vAlign w:val="center"/>
          </w:tcPr>
          <w:p>
            <w:pPr>
              <w:pStyle w:val="TableContents"/>
              <w:bidi w:val="0"/>
              <w:spacing w:before="0" w:after="283"/>
              <w:jc w:val="left"/>
              <w:rPr/>
            </w:pPr>
            <w:r>
              <w:rPr/>
              <w:t> </w:t>
            </w:r>
          </w:p>
        </w:tc>
        <w:tc>
          <w:tcPr>
            <w:tcW w:w="3075" w:type="dxa"/>
            <w:tcBorders>
              <w:bottom w:val="single" w:sz="12" w:space="0" w:color="000000"/>
            </w:tcBorders>
            <w:tcMar>
              <w:bottom w:w="28" w:type="dxa"/>
            </w:tcMar>
            <w:vAlign w:val="center"/>
          </w:tcPr>
          <w:p>
            <w:pPr>
              <w:pStyle w:val="TableContents"/>
              <w:bidi w:val="0"/>
              <w:spacing w:before="0" w:after="0"/>
              <w:jc w:val="left"/>
              <w:rPr>
                <w:b/>
              </w:rPr>
            </w:pPr>
            <w:r>
              <w:rPr>
                <w:b/>
              </w:rPr>
              <w:t>Consolidated Statement of</w:t>
              <w:br/>
              <w:t xml:space="preserve">Operations Classification </w:t>
            </w:r>
          </w:p>
        </w:tc>
        <w:tc>
          <w:tcPr>
            <w:tcW w:w="107" w:type="dxa"/>
            <w:tcBorders/>
            <w:vAlign w:val="center"/>
          </w:tcPr>
          <w:p>
            <w:pPr>
              <w:pStyle w:val="TableContents"/>
              <w:bidi w:val="0"/>
              <w:spacing w:before="0" w:after="283"/>
              <w:jc w:val="center"/>
              <w:rPr/>
            </w:pPr>
            <w:r>
              <w:rPr/>
              <w:t> </w:t>
            </w:r>
          </w:p>
        </w:tc>
        <w:tc>
          <w:tcPr>
            <w:tcW w:w="201"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01"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07" w:type="dxa"/>
            <w:tcBorders/>
            <w:vAlign w:val="center"/>
          </w:tcPr>
          <w:p>
            <w:pPr>
              <w:pStyle w:val="TableContents"/>
              <w:bidi w:val="0"/>
              <w:spacing w:before="0" w:after="283"/>
              <w:jc w:val="center"/>
              <w:rPr/>
            </w:pPr>
            <w:r>
              <w:rPr/>
              <w:t> </w:t>
            </w:r>
          </w:p>
        </w:tc>
        <w:tc>
          <w:tcPr>
            <w:tcW w:w="107" w:type="dxa"/>
            <w:tcBorders/>
            <w:vAlign w:val="center"/>
          </w:tcPr>
          <w:p>
            <w:pPr>
              <w:pStyle w:val="TableContents"/>
              <w:bidi w:val="0"/>
              <w:spacing w:before="0" w:after="283"/>
              <w:jc w:val="center"/>
              <w:rPr/>
            </w:pPr>
            <w:r>
              <w:rPr/>
              <w:t> </w:t>
            </w:r>
          </w:p>
        </w:tc>
        <w:tc>
          <w:tcPr>
            <w:tcW w:w="201"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01"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0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8" w:type="dxa"/>
            <w:tcBorders/>
            <w:vAlign w:val="center"/>
          </w:tcPr>
          <w:p>
            <w:pPr>
              <w:pStyle w:val="TableContents"/>
              <w:bidi w:val="0"/>
              <w:spacing w:before="0" w:after="283"/>
              <w:jc w:val="center"/>
              <w:rPr/>
            </w:pPr>
            <w:r>
              <w:rPr/>
              <w:t> </w:t>
            </w:r>
          </w:p>
        </w:tc>
      </w:tr>
      <w:tr>
        <w:trPr/>
        <w:tc>
          <w:tcPr>
            <w:tcW w:w="2640" w:type="dxa"/>
            <w:tcBorders/>
            <w:shd w:fill="CCEEFF" w:val="clear"/>
            <w:vAlign w:val="center"/>
          </w:tcPr>
          <w:p>
            <w:pPr>
              <w:pStyle w:val="TableContents"/>
              <w:bidi w:val="0"/>
              <w:spacing w:before="0" w:after="0"/>
              <w:jc w:val="left"/>
              <w:rPr/>
            </w:pPr>
            <w:r>
              <w:rPr/>
              <w:t xml:space="preserve">Operating lease cost </w:t>
            </w:r>
          </w:p>
        </w:tc>
        <w:tc>
          <w:tcPr>
            <w:tcW w:w="90" w:type="dxa"/>
            <w:tcBorders/>
            <w:shd w:fill="CCEEFF" w:val="clear"/>
            <w:vAlign w:val="center"/>
          </w:tcPr>
          <w:p>
            <w:pPr>
              <w:pStyle w:val="TableContents"/>
              <w:bidi w:val="0"/>
              <w:spacing w:before="0" w:after="283"/>
              <w:jc w:val="left"/>
              <w:rPr/>
            </w:pPr>
            <w:r>
              <w:rPr/>
              <w:t> </w:t>
            </w:r>
          </w:p>
        </w:tc>
        <w:tc>
          <w:tcPr>
            <w:tcW w:w="3075" w:type="dxa"/>
            <w:tcBorders/>
            <w:shd w:fill="CCEEFF" w:val="clear"/>
            <w:vAlign w:val="center"/>
          </w:tcPr>
          <w:p>
            <w:pPr>
              <w:pStyle w:val="TableContents"/>
              <w:bidi w:val="0"/>
              <w:spacing w:before="0" w:after="0"/>
              <w:jc w:val="left"/>
              <w:rPr/>
            </w:pPr>
            <w:r>
              <w:rPr/>
              <w:t xml:space="preserve">Selling, general and administrative </w:t>
            </w:r>
          </w:p>
        </w:tc>
        <w:tc>
          <w:tcPr>
            <w:tcW w:w="10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701" w:type="dxa"/>
            <w:tcBorders/>
            <w:shd w:fill="CCEEFF" w:val="clear"/>
            <w:vAlign w:val="center"/>
          </w:tcPr>
          <w:p>
            <w:pPr>
              <w:pStyle w:val="TableContents"/>
              <w:bidi w:val="0"/>
              <w:spacing w:before="0" w:after="283"/>
              <w:jc w:val="right"/>
              <w:rPr/>
            </w:pPr>
            <w:r>
              <w:rPr/>
              <w:t>5,892</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701" w:type="dxa"/>
            <w:tcBorders/>
            <w:shd w:fill="CCEEFF" w:val="clear"/>
            <w:vAlign w:val="center"/>
          </w:tcPr>
          <w:p>
            <w:pPr>
              <w:pStyle w:val="TableContents"/>
              <w:bidi w:val="0"/>
              <w:spacing w:before="0" w:after="283"/>
              <w:jc w:val="right"/>
              <w:rPr/>
            </w:pPr>
            <w:r>
              <w:rPr/>
              <w:t>4,982</w:t>
            </w:r>
          </w:p>
        </w:tc>
        <w:tc>
          <w:tcPr>
            <w:tcW w:w="1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11,742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9,971</w:t>
            </w:r>
          </w:p>
        </w:tc>
        <w:tc>
          <w:tcPr>
            <w:tcW w:w="138" w:type="dxa"/>
            <w:tcBorders/>
            <w:shd w:fill="CCEEFF" w:val="clear"/>
            <w:vAlign w:val="center"/>
          </w:tcPr>
          <w:p>
            <w:pPr>
              <w:pStyle w:val="TableContents"/>
              <w:bidi w:val="0"/>
              <w:spacing w:before="0" w:after="283"/>
              <w:jc w:val="left"/>
              <w:rPr/>
            </w:pPr>
            <w:r>
              <w:rPr/>
              <w:t> </w:t>
            </w:r>
          </w:p>
        </w:tc>
      </w:tr>
      <w:tr>
        <w:trPr/>
        <w:tc>
          <w:tcPr>
            <w:tcW w:w="2640" w:type="dxa"/>
            <w:tcBorders/>
            <w:vAlign w:val="center"/>
          </w:tcPr>
          <w:p>
            <w:pPr>
              <w:pStyle w:val="TableContents"/>
              <w:bidi w:val="0"/>
              <w:spacing w:before="0" w:after="0"/>
              <w:jc w:val="left"/>
              <w:rPr/>
            </w:pPr>
            <w:r>
              <w:rPr/>
              <w:t xml:space="preserve">Finance lease cost </w:t>
            </w:r>
          </w:p>
        </w:tc>
        <w:tc>
          <w:tcPr>
            <w:tcW w:w="90"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2640" w:type="dxa"/>
            <w:tcBorders/>
            <w:shd w:fill="CCEEFF" w:val="clear"/>
            <w:vAlign w:val="center"/>
          </w:tcPr>
          <w:p>
            <w:pPr>
              <w:pStyle w:val="TableContents"/>
              <w:bidi w:val="0"/>
              <w:spacing w:before="0" w:after="0"/>
              <w:jc w:val="left"/>
              <w:rPr/>
            </w:pPr>
            <w:r>
              <w:rPr/>
              <w:t xml:space="preserve">Amortization of leased assets </w:t>
            </w:r>
          </w:p>
        </w:tc>
        <w:tc>
          <w:tcPr>
            <w:tcW w:w="90" w:type="dxa"/>
            <w:tcBorders/>
            <w:shd w:fill="CCEEFF" w:val="clear"/>
            <w:vAlign w:val="center"/>
          </w:tcPr>
          <w:p>
            <w:pPr>
              <w:pStyle w:val="TableContents"/>
              <w:bidi w:val="0"/>
              <w:spacing w:before="0" w:after="283"/>
              <w:jc w:val="left"/>
              <w:rPr/>
            </w:pPr>
            <w:r>
              <w:rPr/>
              <w:t> </w:t>
            </w:r>
          </w:p>
        </w:tc>
        <w:tc>
          <w:tcPr>
            <w:tcW w:w="3075" w:type="dxa"/>
            <w:tcBorders/>
            <w:shd w:fill="CCEEFF" w:val="clear"/>
            <w:vAlign w:val="center"/>
          </w:tcPr>
          <w:p>
            <w:pPr>
              <w:pStyle w:val="TableContents"/>
              <w:bidi w:val="0"/>
              <w:spacing w:before="0" w:after="0"/>
              <w:jc w:val="left"/>
              <w:rPr/>
            </w:pPr>
            <w:r>
              <w:rPr/>
              <w:t xml:space="preserve">Educational services and facilities </w:t>
            </w:r>
          </w:p>
        </w:tc>
        <w:tc>
          <w:tcPr>
            <w:tcW w:w="10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right"/>
              <w:rPr/>
            </w:pPr>
            <w:r>
              <w:rPr/>
              <w:t> </w:t>
            </w:r>
          </w:p>
        </w:tc>
        <w:tc>
          <w:tcPr>
            <w:tcW w:w="701" w:type="dxa"/>
            <w:tcBorders/>
            <w:shd w:fill="CCEEFF" w:val="clear"/>
            <w:vAlign w:val="center"/>
          </w:tcPr>
          <w:p>
            <w:pPr>
              <w:pStyle w:val="TableContents"/>
              <w:bidi w:val="0"/>
              <w:spacing w:before="0" w:after="283"/>
              <w:jc w:val="right"/>
              <w:rPr/>
            </w:pPr>
            <w:r>
              <w:rPr/>
              <w:t>418</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right"/>
              <w:rPr/>
            </w:pPr>
            <w:r>
              <w:rPr/>
              <w:t> </w:t>
            </w:r>
          </w:p>
        </w:tc>
        <w:tc>
          <w:tcPr>
            <w:tcW w:w="701" w:type="dxa"/>
            <w:tcBorders/>
            <w:shd w:fill="CCEEFF" w:val="clear"/>
            <w:vAlign w:val="center"/>
          </w:tcPr>
          <w:p>
            <w:pPr>
              <w:pStyle w:val="TableContents"/>
              <w:bidi w:val="0"/>
              <w:spacing w:before="0" w:after="283"/>
              <w:jc w:val="right"/>
              <w:rPr/>
            </w:pPr>
            <w:r>
              <w:rPr/>
              <w:t>418</w:t>
            </w:r>
          </w:p>
        </w:tc>
        <w:tc>
          <w:tcPr>
            <w:tcW w:w="1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710" w:type="dxa"/>
            <w:tcBorders/>
            <w:shd w:fill="CCEEFF" w:val="clear"/>
            <w:vAlign w:val="center"/>
          </w:tcPr>
          <w:p>
            <w:pPr>
              <w:pStyle w:val="TableContents"/>
              <w:bidi w:val="0"/>
              <w:spacing w:before="0" w:after="283"/>
              <w:jc w:val="right"/>
              <w:rPr/>
            </w:pPr>
            <w:r>
              <w:rPr/>
              <w:t>835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710" w:type="dxa"/>
            <w:tcBorders/>
            <w:shd w:fill="CCEEFF" w:val="clear"/>
            <w:vAlign w:val="center"/>
          </w:tcPr>
          <w:p>
            <w:pPr>
              <w:pStyle w:val="TableContents"/>
              <w:bidi w:val="0"/>
              <w:spacing w:before="0" w:after="283"/>
              <w:jc w:val="right"/>
              <w:rPr/>
            </w:pPr>
            <w:r>
              <w:rPr/>
              <w:t>835</w:t>
            </w:r>
          </w:p>
        </w:tc>
        <w:tc>
          <w:tcPr>
            <w:tcW w:w="138" w:type="dxa"/>
            <w:tcBorders/>
            <w:shd w:fill="CCEEFF" w:val="clear"/>
            <w:vAlign w:val="center"/>
          </w:tcPr>
          <w:p>
            <w:pPr>
              <w:pStyle w:val="TableContents"/>
              <w:bidi w:val="0"/>
              <w:spacing w:before="0" w:after="283"/>
              <w:jc w:val="left"/>
              <w:rPr/>
            </w:pPr>
            <w:r>
              <w:rPr/>
              <w:t> </w:t>
            </w:r>
          </w:p>
        </w:tc>
      </w:tr>
      <w:tr>
        <w:trPr/>
        <w:tc>
          <w:tcPr>
            <w:tcW w:w="2640" w:type="dxa"/>
            <w:tcBorders/>
            <w:vAlign w:val="center"/>
          </w:tcPr>
          <w:p>
            <w:pPr>
              <w:pStyle w:val="TableContents"/>
              <w:bidi w:val="0"/>
              <w:spacing w:before="0" w:after="0"/>
              <w:jc w:val="left"/>
              <w:rPr/>
            </w:pPr>
            <w:r>
              <w:rPr/>
              <w:t xml:space="preserve">Interest on lease liabilities </w:t>
            </w:r>
          </w:p>
        </w:tc>
        <w:tc>
          <w:tcPr>
            <w:tcW w:w="90"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0"/>
              <w:jc w:val="left"/>
              <w:rPr/>
            </w:pPr>
            <w:r>
              <w:rPr/>
              <w:t xml:space="preserve">Interest expense </w:t>
            </w:r>
          </w:p>
        </w:tc>
        <w:tc>
          <w:tcPr>
            <w:tcW w:w="10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right"/>
              <w:rPr/>
            </w:pPr>
            <w:r>
              <w:rPr/>
              <w:t> </w:t>
            </w:r>
          </w:p>
        </w:tc>
        <w:tc>
          <w:tcPr>
            <w:tcW w:w="701" w:type="dxa"/>
            <w:tcBorders/>
            <w:vAlign w:val="center"/>
          </w:tcPr>
          <w:p>
            <w:pPr>
              <w:pStyle w:val="TableContents"/>
              <w:bidi w:val="0"/>
              <w:spacing w:before="0" w:after="283"/>
              <w:jc w:val="right"/>
              <w:rPr/>
            </w:pPr>
            <w:r>
              <w:rPr/>
              <w:t>590</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right"/>
              <w:rPr/>
            </w:pPr>
            <w:r>
              <w:rPr/>
              <w:t> </w:t>
            </w:r>
          </w:p>
        </w:tc>
        <w:tc>
          <w:tcPr>
            <w:tcW w:w="701" w:type="dxa"/>
            <w:tcBorders/>
            <w:vAlign w:val="center"/>
          </w:tcPr>
          <w:p>
            <w:pPr>
              <w:pStyle w:val="TableContents"/>
              <w:bidi w:val="0"/>
              <w:spacing w:before="0" w:after="283"/>
              <w:jc w:val="right"/>
              <w:rPr/>
            </w:pPr>
            <w:r>
              <w:rPr/>
              <w:t>591</w:t>
            </w:r>
          </w:p>
        </w:tc>
        <w:tc>
          <w:tcPr>
            <w:tcW w:w="1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710" w:type="dxa"/>
            <w:tcBorders/>
            <w:vAlign w:val="center"/>
          </w:tcPr>
          <w:p>
            <w:pPr>
              <w:pStyle w:val="TableContents"/>
              <w:bidi w:val="0"/>
              <w:spacing w:before="0" w:after="283"/>
              <w:jc w:val="right"/>
              <w:rPr/>
            </w:pPr>
            <w:r>
              <w:rPr/>
              <w:t>1,182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710" w:type="dxa"/>
            <w:tcBorders/>
            <w:vAlign w:val="center"/>
          </w:tcPr>
          <w:p>
            <w:pPr>
              <w:pStyle w:val="TableContents"/>
              <w:bidi w:val="0"/>
              <w:spacing w:before="0" w:after="283"/>
              <w:jc w:val="right"/>
              <w:rPr/>
            </w:pPr>
            <w:r>
              <w:rPr/>
              <w:t>1,173</w:t>
            </w:r>
          </w:p>
        </w:tc>
        <w:tc>
          <w:tcPr>
            <w:tcW w:w="138" w:type="dxa"/>
            <w:tcBorders/>
            <w:vAlign w:val="center"/>
          </w:tcPr>
          <w:p>
            <w:pPr>
              <w:pStyle w:val="TableContents"/>
              <w:bidi w:val="0"/>
              <w:spacing w:before="0" w:after="283"/>
              <w:jc w:val="left"/>
              <w:rPr/>
            </w:pPr>
            <w:r>
              <w:rPr/>
              <w:t> </w:t>
            </w:r>
          </w:p>
        </w:tc>
      </w:tr>
      <w:tr>
        <w:trPr/>
        <w:tc>
          <w:tcPr>
            <w:tcW w:w="2640" w:type="dxa"/>
            <w:tcBorders/>
            <w:shd w:fill="CCEEFF" w:val="clear"/>
            <w:vAlign w:val="center"/>
          </w:tcPr>
          <w:p>
            <w:pPr>
              <w:pStyle w:val="TableContents"/>
              <w:bidi w:val="0"/>
              <w:spacing w:before="0" w:after="0"/>
              <w:jc w:val="left"/>
              <w:rPr/>
            </w:pPr>
            <w:r>
              <w:rPr/>
              <w:t xml:space="preserve">Variable lease cost </w:t>
            </w:r>
          </w:p>
        </w:tc>
        <w:tc>
          <w:tcPr>
            <w:tcW w:w="90" w:type="dxa"/>
            <w:tcBorders/>
            <w:shd w:fill="CCEEFF" w:val="clear"/>
            <w:vAlign w:val="center"/>
          </w:tcPr>
          <w:p>
            <w:pPr>
              <w:pStyle w:val="TableContents"/>
              <w:bidi w:val="0"/>
              <w:spacing w:before="0" w:after="283"/>
              <w:jc w:val="left"/>
              <w:rPr/>
            </w:pPr>
            <w:r>
              <w:rPr/>
              <w:t> </w:t>
            </w:r>
          </w:p>
        </w:tc>
        <w:tc>
          <w:tcPr>
            <w:tcW w:w="3075" w:type="dxa"/>
            <w:tcBorders/>
            <w:shd w:fill="CCEEFF" w:val="clear"/>
            <w:vAlign w:val="center"/>
          </w:tcPr>
          <w:p>
            <w:pPr>
              <w:pStyle w:val="TableContents"/>
              <w:bidi w:val="0"/>
              <w:spacing w:before="0" w:after="0"/>
              <w:jc w:val="left"/>
              <w:rPr/>
            </w:pPr>
            <w:r>
              <w:rPr/>
              <w:t xml:space="preserve">Selling, general and administrative </w:t>
            </w:r>
          </w:p>
        </w:tc>
        <w:tc>
          <w:tcPr>
            <w:tcW w:w="107"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01" w:type="dxa"/>
            <w:tcBorders>
              <w:bottom w:val="single" w:sz="12" w:space="0" w:color="000000"/>
            </w:tcBorders>
            <w:shd w:fill="CCEEFF" w:val="clear"/>
            <w:tcMar>
              <w:bottom w:w="28" w:type="dxa"/>
            </w:tcMar>
            <w:vAlign w:val="center"/>
          </w:tcPr>
          <w:p>
            <w:pPr>
              <w:pStyle w:val="TableContents"/>
              <w:bidi w:val="0"/>
              <w:spacing w:before="0" w:after="283"/>
              <w:jc w:val="right"/>
              <w:rPr/>
            </w:pPr>
            <w:r>
              <w:rPr/>
              <w:t>253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01" w:type="dxa"/>
            <w:tcBorders>
              <w:bottom w:val="single" w:sz="12" w:space="0" w:color="000000"/>
            </w:tcBorders>
            <w:shd w:fill="CCEEFF" w:val="clear"/>
            <w:tcMar>
              <w:bottom w:w="28" w:type="dxa"/>
            </w:tcMar>
            <w:vAlign w:val="center"/>
          </w:tcPr>
          <w:p>
            <w:pPr>
              <w:pStyle w:val="TableContents"/>
              <w:bidi w:val="0"/>
              <w:spacing w:before="0" w:after="283"/>
              <w:jc w:val="right"/>
              <w:rPr/>
            </w:pPr>
            <w:r>
              <w:rPr/>
              <w:t>244</w:t>
            </w:r>
          </w:p>
        </w:tc>
        <w:tc>
          <w:tcPr>
            <w:tcW w:w="10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506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460</w:t>
            </w:r>
          </w:p>
        </w:tc>
        <w:tc>
          <w:tcPr>
            <w:tcW w:w="138" w:type="dxa"/>
            <w:tcBorders/>
            <w:shd w:fill="CCEEFF" w:val="clear"/>
            <w:vAlign w:val="center"/>
          </w:tcPr>
          <w:p>
            <w:pPr>
              <w:pStyle w:val="TableContents"/>
              <w:bidi w:val="0"/>
              <w:spacing w:before="0" w:after="283"/>
              <w:jc w:val="left"/>
              <w:rPr/>
            </w:pPr>
            <w:r>
              <w:rPr/>
              <w:t> </w:t>
            </w:r>
          </w:p>
        </w:tc>
      </w:tr>
      <w:tr>
        <w:trPr/>
        <w:tc>
          <w:tcPr>
            <w:tcW w:w="2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1" w:type="dxa"/>
            <w:tcBorders>
              <w:bottom w:val="double" w:sz="8" w:space="0" w:color="000000"/>
            </w:tcBorders>
            <w:tcMar>
              <w:bottom w:w="28" w:type="dxa"/>
            </w:tcMar>
            <w:vAlign w:val="center"/>
          </w:tcPr>
          <w:p>
            <w:pPr>
              <w:pStyle w:val="TableContents"/>
              <w:bidi w:val="0"/>
              <w:spacing w:before="0" w:after="283"/>
              <w:jc w:val="left"/>
              <w:rPr/>
            </w:pPr>
            <w:r>
              <w:rPr/>
              <w:t>$</w:t>
            </w:r>
          </w:p>
        </w:tc>
        <w:tc>
          <w:tcPr>
            <w:tcW w:w="701" w:type="dxa"/>
            <w:tcBorders>
              <w:bottom w:val="double" w:sz="8" w:space="0" w:color="000000"/>
            </w:tcBorders>
            <w:tcMar>
              <w:bottom w:w="28" w:type="dxa"/>
            </w:tcMar>
            <w:vAlign w:val="center"/>
          </w:tcPr>
          <w:p>
            <w:pPr>
              <w:pStyle w:val="TableContents"/>
              <w:bidi w:val="0"/>
              <w:spacing w:before="0" w:after="283"/>
              <w:jc w:val="right"/>
              <w:rPr/>
            </w:pPr>
            <w:r>
              <w:rPr/>
              <w:t>7,153</w:t>
            </w:r>
          </w:p>
        </w:tc>
        <w:tc>
          <w:tcPr>
            <w:tcW w:w="107" w:type="dxa"/>
            <w:tcBorders>
              <w:bottom w:val="single" w:sz="2" w:space="0" w:color="000000"/>
            </w:tcBorders>
            <w:tcMar>
              <w:bottom w:w="28" w:type="dxa"/>
            </w:tcM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1" w:type="dxa"/>
            <w:tcBorders>
              <w:bottom w:val="double" w:sz="8" w:space="0" w:color="000000"/>
            </w:tcBorders>
            <w:tcMar>
              <w:bottom w:w="28" w:type="dxa"/>
            </w:tcMar>
            <w:vAlign w:val="center"/>
          </w:tcPr>
          <w:p>
            <w:pPr>
              <w:pStyle w:val="TableContents"/>
              <w:bidi w:val="0"/>
              <w:spacing w:before="0" w:after="283"/>
              <w:jc w:val="left"/>
              <w:rPr/>
            </w:pPr>
            <w:r>
              <w:rPr/>
              <w:t>$</w:t>
            </w:r>
          </w:p>
        </w:tc>
        <w:tc>
          <w:tcPr>
            <w:tcW w:w="701" w:type="dxa"/>
            <w:tcBorders>
              <w:bottom w:val="double" w:sz="8" w:space="0" w:color="000000"/>
            </w:tcBorders>
            <w:tcMar>
              <w:bottom w:w="28" w:type="dxa"/>
            </w:tcMar>
            <w:vAlign w:val="center"/>
          </w:tcPr>
          <w:p>
            <w:pPr>
              <w:pStyle w:val="TableContents"/>
              <w:bidi w:val="0"/>
              <w:spacing w:before="0" w:after="283"/>
              <w:jc w:val="right"/>
              <w:rPr/>
            </w:pPr>
            <w:r>
              <w:rPr/>
              <w:t>6,235</w:t>
            </w:r>
          </w:p>
        </w:tc>
        <w:tc>
          <w:tcPr>
            <w:tcW w:w="107"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14,265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12,439</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net change in ROU asset and operating lease liability is included in the net change in other assets in the Condensed Consolidated Statements of Cash Flows for the six months ended June 30, 2026 and 2025.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net change in ROU asset and finance lease liability is split between principal payments, interest expense and amortization expense. Principal payments are classified in the financing section, interest expense is included in net income and amortization expense is broken out separately in the operating section of the Consolidated Statements of Cash Flows.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Supplemental cash flow information and non-cash activity related to our leases are as follows: </w:t>
      </w:r>
    </w:p>
    <w:p>
      <w:pPr>
        <w:pStyle w:val="TextBody"/>
        <w:bidi w:val="0"/>
        <w:spacing w:before="0" w:after="0"/>
        <w:jc w:val="left"/>
        <w:rPr/>
      </w:pPr>
      <w:r>
        <w:rPr/>
        <w:t xml:space="preserve">  </w:t>
      </w:r>
    </w:p>
    <w:tbl>
      <w:tblPr>
        <w:tblW w:w="10038" w:type="dxa"/>
        <w:jc w:val="left"/>
        <w:tblInd w:w="0" w:type="dxa"/>
        <w:tblLayout w:type="fixed"/>
        <w:tblCellMar>
          <w:top w:w="0" w:type="dxa"/>
          <w:left w:w="0" w:type="dxa"/>
          <w:bottom w:w="0" w:type="dxa"/>
          <w:right w:w="0" w:type="dxa"/>
        </w:tblCellMar>
      </w:tblPr>
      <w:tblGrid>
        <w:gridCol w:w="6695"/>
        <w:gridCol w:w="90"/>
        <w:gridCol w:w="170"/>
        <w:gridCol w:w="1199"/>
        <w:gridCol w:w="152"/>
        <w:gridCol w:w="152"/>
        <w:gridCol w:w="287"/>
        <w:gridCol w:w="1123"/>
        <w:gridCol w:w="170"/>
      </w:tblGrid>
      <w:tr>
        <w:trPr/>
        <w:tc>
          <w:tcPr>
            <w:tcW w:w="6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913"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170" w:type="dxa"/>
            <w:tcBorders/>
            <w:vAlign w:val="center"/>
          </w:tcPr>
          <w:p>
            <w:pPr>
              <w:pStyle w:val="TableContents"/>
              <w:bidi w:val="0"/>
              <w:spacing w:before="0" w:after="283"/>
              <w:jc w:val="center"/>
              <w:rPr/>
            </w:pPr>
            <w:r>
              <w:rPr/>
              <w:t> </w:t>
            </w:r>
          </w:p>
        </w:tc>
      </w:tr>
      <w:tr>
        <w:trPr/>
        <w:tc>
          <w:tcPr>
            <w:tcW w:w="6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99"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52" w:type="dxa"/>
            <w:tcBorders/>
            <w:vAlign w:val="center"/>
          </w:tcPr>
          <w:p>
            <w:pPr>
              <w:pStyle w:val="TableContents"/>
              <w:bidi w:val="0"/>
              <w:spacing w:before="0" w:after="283"/>
              <w:jc w:val="center"/>
              <w:rPr/>
            </w:pPr>
            <w:r>
              <w:rPr/>
              <w:t> </w:t>
            </w:r>
          </w:p>
        </w:tc>
        <w:tc>
          <w:tcPr>
            <w:tcW w:w="152" w:type="dxa"/>
            <w:tcBorders/>
            <w:vAlign w:val="center"/>
          </w:tcPr>
          <w:p>
            <w:pPr>
              <w:pStyle w:val="TableContents"/>
              <w:bidi w:val="0"/>
              <w:spacing w:before="0" w:after="283"/>
              <w:jc w:val="center"/>
              <w:rPr/>
            </w:pPr>
            <w:r>
              <w:rPr/>
              <w:t> </w:t>
            </w:r>
          </w:p>
        </w:tc>
        <w:tc>
          <w:tcPr>
            <w:tcW w:w="287"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23"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70" w:type="dxa"/>
            <w:tcBorders/>
            <w:vAlign w:val="center"/>
          </w:tcPr>
          <w:p>
            <w:pPr>
              <w:pStyle w:val="TableContents"/>
              <w:bidi w:val="0"/>
              <w:spacing w:before="0" w:after="283"/>
              <w:jc w:val="center"/>
              <w:rPr/>
            </w:pPr>
            <w:r>
              <w:rPr/>
              <w:t> </w:t>
            </w:r>
          </w:p>
        </w:tc>
      </w:tr>
      <w:tr>
        <w:trPr/>
        <w:tc>
          <w:tcPr>
            <w:tcW w:w="6695" w:type="dxa"/>
            <w:tcBorders/>
            <w:vAlign w:val="center"/>
          </w:tcPr>
          <w:p>
            <w:pPr>
              <w:pStyle w:val="TableContents"/>
              <w:bidi w:val="0"/>
              <w:spacing w:before="0" w:after="0"/>
              <w:jc w:val="left"/>
              <w:rPr/>
            </w:pPr>
            <w:r>
              <w:rPr>
                <w:b/>
              </w:rPr>
              <w:t>Cash flow information:</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0"/>
              <w:jc w:val="left"/>
              <w:rPr/>
            </w:pPr>
            <w:r>
              <w:rPr/>
              <w:t xml:space="preserve">Cash paid for amounts included in the measurement of lease liabilities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jc w:val="left"/>
              <w:rPr/>
            </w:pPr>
            <w:r>
              <w:rPr/>
              <w:t xml:space="preserve">Operating Cash Flows - operating leases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10,630</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9,697</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695" w:type="dxa"/>
            <w:tcBorders/>
            <w:vAlign w:val="center"/>
          </w:tcPr>
          <w:p>
            <w:pPr>
              <w:pStyle w:val="TableContents"/>
              <w:bidi w:val="0"/>
              <w:spacing w:before="0" w:after="0"/>
              <w:jc w:val="left"/>
              <w:rPr/>
            </w:pPr>
            <w:r>
              <w:rPr/>
              <w:t xml:space="preserve">Operating Cash Flows - finance leases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1,182</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1,173</w:t>
            </w:r>
          </w:p>
        </w:tc>
        <w:tc>
          <w:tcPr>
            <w:tcW w:w="170" w:type="dxa"/>
            <w:tcBorders/>
            <w:vAlign w:val="center"/>
          </w:tcPr>
          <w:p>
            <w:pPr>
              <w:pStyle w:val="TableContents"/>
              <w:bidi w:val="0"/>
              <w:spacing w:before="0" w:after="283"/>
              <w:jc w:val="left"/>
              <w:rPr>
                <w:sz w:val="4"/>
                <w:szCs w:val="4"/>
              </w:rPr>
            </w:pPr>
            <w:r>
              <w:rPr>
                <w:sz w:val="4"/>
                <w:szCs w:val="4"/>
              </w:rPr>
            </w:r>
          </w:p>
        </w:tc>
      </w:tr>
      <w:tr>
        <w:trPr/>
        <w:tc>
          <w:tcPr>
            <w:tcW w:w="6695" w:type="dxa"/>
            <w:tcBorders/>
            <w:shd w:fill="CCEEFF" w:val="clear"/>
            <w:vAlign w:val="center"/>
          </w:tcPr>
          <w:p>
            <w:pPr>
              <w:pStyle w:val="TableContents"/>
              <w:bidi w:val="0"/>
              <w:spacing w:before="0" w:after="0"/>
              <w:jc w:val="left"/>
              <w:rPr/>
            </w:pPr>
            <w:r>
              <w:rPr/>
              <w:t xml:space="preserve">Financing Cash Flows - finance leases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220</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ind w:left="0" w:right="0" w:hanging="0"/>
              <w:jc w:val="right"/>
              <w:rPr/>
            </w:pPr>
            <w:r>
              <w:rPr/>
              <w:t>(2,033</w:t>
            </w:r>
          </w:p>
        </w:tc>
        <w:tc>
          <w:tcPr>
            <w:tcW w:w="170" w:type="dxa"/>
            <w:tcBorders/>
            <w:shd w:fill="CCEEFF" w:val="clear"/>
            <w:vAlign w:val="center"/>
          </w:tcPr>
          <w:p>
            <w:pPr>
              <w:pStyle w:val="TableContents"/>
              <w:bidi w:val="0"/>
              <w:spacing w:before="0" w:after="283"/>
              <w:jc w:val="left"/>
              <w:rPr>
                <w:rFonts w:ascii="Times New Roman" w:hAnsi="Times New Roman"/>
                <w:sz w:val="24"/>
              </w:rPr>
            </w:pPr>
            <w:r>
              <w:rPr>
                <w:rFonts w:ascii="Times New Roman" w:hAnsi="Times New Roman"/>
                <w:sz w:val="24"/>
              </w:rPr>
              <w:t>)</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During the six months ended June 30, 2026, the Company entered into one new operating lease. There was one operating lease modification during the six months ended June 30, 2026.</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30, 2026, the Company entered into a lease for approximately 36,000 square feet of space in Suitland, Maryland, located in the Washington, D.C. metropolitan area, to serve as the Company's second campus in the region. The lease term is scheduled to commence in September 2026, with an initial lease term of 15 years and 7 months. The Company will not take possession of the premises until the lease commencement date.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Weighted-average remaining lease term and discount rate for our leases are as follows: </w:t>
      </w:r>
    </w:p>
    <w:p>
      <w:pPr>
        <w:pStyle w:val="TextBody"/>
        <w:bidi w:val="0"/>
        <w:spacing w:before="0" w:after="0"/>
        <w:jc w:val="left"/>
        <w:rPr/>
      </w:pPr>
      <w:r>
        <w:rPr/>
        <w:t xml:space="preserve">  </w:t>
      </w:r>
    </w:p>
    <w:tbl>
      <w:tblPr>
        <w:tblW w:w="6565" w:type="dxa"/>
        <w:jc w:val="left"/>
        <w:tblInd w:w="0" w:type="dxa"/>
        <w:tblLayout w:type="fixed"/>
        <w:tblCellMar>
          <w:top w:w="0" w:type="dxa"/>
          <w:left w:w="0" w:type="dxa"/>
          <w:bottom w:w="0" w:type="dxa"/>
          <w:right w:w="0" w:type="dxa"/>
        </w:tblCellMar>
      </w:tblPr>
      <w:tblGrid>
        <w:gridCol w:w="3860"/>
        <w:gridCol w:w="90"/>
        <w:gridCol w:w="90"/>
        <w:gridCol w:w="905"/>
        <w:gridCol w:w="245"/>
        <w:gridCol w:w="90"/>
        <w:gridCol w:w="90"/>
        <w:gridCol w:w="905"/>
        <w:gridCol w:w="290"/>
      </w:tblGrid>
      <w:tr>
        <w:trPr/>
        <w:tc>
          <w:tcPr>
            <w:tcW w:w="38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325" w:type="dxa"/>
            <w:gridSpan w:val="6"/>
            <w:tcBorders/>
            <w:vAlign w:val="center"/>
          </w:tcPr>
          <w:p>
            <w:pPr>
              <w:pStyle w:val="TableContents"/>
              <w:bidi w:val="0"/>
              <w:spacing w:before="0" w:after="283"/>
              <w:jc w:val="center"/>
              <w:rPr/>
            </w:pPr>
            <w:r>
              <w:rPr>
                <w:b/>
                <w:spacing w:val="0"/>
              </w:rPr>
              <w:t>As of</w:t>
            </w:r>
            <w:r>
              <w:rPr/>
              <w:t xml:space="preserve"> </w:t>
            </w:r>
          </w:p>
        </w:tc>
        <w:tc>
          <w:tcPr>
            <w:tcW w:w="290" w:type="dxa"/>
            <w:tcBorders/>
            <w:vAlign w:val="center"/>
          </w:tcPr>
          <w:p>
            <w:pPr>
              <w:pStyle w:val="TableContents"/>
              <w:bidi w:val="0"/>
              <w:spacing w:before="0" w:after="283"/>
              <w:jc w:val="center"/>
              <w:rPr/>
            </w:pPr>
            <w:r>
              <w:rPr/>
              <w:t> </w:t>
            </w:r>
          </w:p>
        </w:tc>
      </w:tr>
      <w:tr>
        <w:trPr/>
        <w:tc>
          <w:tcPr>
            <w:tcW w:w="38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235"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June 30,</w:t>
            </w:r>
            <w:r>
              <w:rPr/>
              <w:t xml:space="preserve"> </w:t>
            </w:r>
          </w:p>
        </w:tc>
        <w:tc>
          <w:tcPr>
            <w:tcW w:w="290" w:type="dxa"/>
            <w:tcBorders/>
            <w:vAlign w:val="center"/>
          </w:tcPr>
          <w:p>
            <w:pPr>
              <w:pStyle w:val="TableContents"/>
              <w:bidi w:val="0"/>
              <w:spacing w:before="0" w:after="283"/>
              <w:jc w:val="center"/>
              <w:rPr/>
            </w:pPr>
            <w:r>
              <w:rPr/>
              <w:t> </w:t>
            </w:r>
          </w:p>
        </w:tc>
      </w:tr>
      <w:tr>
        <w:trPr/>
        <w:tc>
          <w:tcPr>
            <w:tcW w:w="38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90" w:type="dxa"/>
            <w:tcBorders/>
            <w:vAlign w:val="center"/>
          </w:tcPr>
          <w:p>
            <w:pPr>
              <w:pStyle w:val="TableContents"/>
              <w:bidi w:val="0"/>
              <w:spacing w:before="0" w:after="283"/>
              <w:jc w:val="center"/>
              <w:rPr/>
            </w:pPr>
            <w:r>
              <w:rPr/>
              <w:t> </w:t>
            </w:r>
          </w:p>
        </w:tc>
      </w:tr>
      <w:tr>
        <w:trPr/>
        <w:tc>
          <w:tcPr>
            <w:tcW w:w="3860" w:type="dxa"/>
            <w:tcBorders/>
            <w:vAlign w:val="center"/>
          </w:tcPr>
          <w:p>
            <w:pPr>
              <w:pStyle w:val="TableContents"/>
              <w:bidi w:val="0"/>
              <w:spacing w:before="0" w:after="0"/>
              <w:jc w:val="left"/>
              <w:rPr/>
            </w:pPr>
            <w:r>
              <w:rPr/>
              <w:t xml:space="preserve">Weighted-average remaining lease term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pPr>
            <w:r>
              <w:rPr/>
              <w:t xml:space="preserve">Operating leases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xml:space="preserve">15 years </w:t>
            </w:r>
          </w:p>
        </w:tc>
        <w:tc>
          <w:tcPr>
            <w:tcW w:w="24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 xml:space="preserve">13 years </w:t>
            </w:r>
          </w:p>
        </w:tc>
        <w:tc>
          <w:tcPr>
            <w:tcW w:w="290" w:type="dxa"/>
            <w:tcBorders/>
            <w:shd w:fill="CCEEFF" w:val="clear"/>
            <w:vAlign w:val="center"/>
          </w:tcPr>
          <w:p>
            <w:pPr>
              <w:pStyle w:val="TableContents"/>
              <w:bidi w:val="0"/>
              <w:spacing w:before="0" w:after="283"/>
              <w:jc w:val="right"/>
              <w:rPr/>
            </w:pPr>
            <w:r>
              <w:rPr/>
              <w:t> </w:t>
            </w:r>
          </w:p>
        </w:tc>
      </w:tr>
      <w:tr>
        <w:trPr/>
        <w:tc>
          <w:tcPr>
            <w:tcW w:w="3860" w:type="dxa"/>
            <w:tcBorders/>
            <w:vAlign w:val="center"/>
          </w:tcPr>
          <w:p>
            <w:pPr>
              <w:pStyle w:val="TableContents"/>
              <w:bidi w:val="0"/>
              <w:spacing w:before="0" w:after="0"/>
              <w:jc w:val="left"/>
              <w:rPr/>
            </w:pPr>
            <w:r>
              <w:rPr/>
              <w:t xml:space="preserve">Finance leases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xml:space="preserve">12 years </w:t>
            </w:r>
          </w:p>
        </w:tc>
        <w:tc>
          <w:tcPr>
            <w:tcW w:w="2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xml:space="preserve">16 years </w:t>
            </w:r>
          </w:p>
        </w:tc>
        <w:tc>
          <w:tcPr>
            <w:tcW w:w="290" w:type="dxa"/>
            <w:tcBorders/>
            <w:vAlign w:val="center"/>
          </w:tcPr>
          <w:p>
            <w:pPr>
              <w:pStyle w:val="TableContents"/>
              <w:bidi w:val="0"/>
              <w:spacing w:before="0" w:after="283"/>
              <w:jc w:val="right"/>
              <w:rPr/>
            </w:pPr>
            <w:r>
              <w:rPr/>
              <w:t> </w:t>
            </w:r>
          </w:p>
        </w:tc>
      </w:tr>
      <w:tr>
        <w:trPr/>
        <w:tc>
          <w:tcPr>
            <w:tcW w:w="38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pPr>
            <w:r>
              <w:rPr/>
              <w:t xml:space="preserve">Weighted-average discount rate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pPr>
            <w:r>
              <w:rPr/>
              <w:t xml:space="preserve">Operating leases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6.61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283"/>
              <w:jc w:val="right"/>
              <w:rPr/>
            </w:pPr>
            <w:r>
              <w:rPr/>
              <w:t>6.58</w:t>
            </w:r>
          </w:p>
        </w:tc>
        <w:tc>
          <w:tcPr>
            <w:tcW w:w="290" w:type="dxa"/>
            <w:tcBorders/>
            <w:shd w:fill="CCEEFF" w:val="clear"/>
            <w:vAlign w:val="center"/>
          </w:tcPr>
          <w:p>
            <w:pPr>
              <w:pStyle w:val="TableContents"/>
              <w:bidi w:val="0"/>
              <w:spacing w:before="0" w:after="283"/>
              <w:jc w:val="left"/>
              <w:rPr/>
            </w:pPr>
            <w:r>
              <w:rPr/>
              <w:t>%</w:t>
            </w:r>
          </w:p>
        </w:tc>
      </w:tr>
      <w:tr>
        <w:trPr/>
        <w:tc>
          <w:tcPr>
            <w:tcW w:w="3860" w:type="dxa"/>
            <w:tcBorders/>
            <w:vAlign w:val="center"/>
          </w:tcPr>
          <w:p>
            <w:pPr>
              <w:pStyle w:val="TableContents"/>
              <w:bidi w:val="0"/>
              <w:spacing w:before="0" w:after="0"/>
              <w:jc w:val="left"/>
              <w:rPr/>
            </w:pPr>
            <w:r>
              <w:rPr/>
              <w:t xml:space="preserve">Finance leases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7.67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7.67</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Maturities of lease liabilities by fiscal year for our leases as of June 30, 2026 are as follows: </w:t>
      </w:r>
    </w:p>
    <w:p>
      <w:pPr>
        <w:pStyle w:val="TextBody"/>
        <w:bidi w:val="0"/>
        <w:spacing w:before="0" w:after="0"/>
        <w:jc w:val="left"/>
        <w:rPr/>
      </w:pPr>
      <w:r>
        <w:rPr/>
        <w:t xml:space="preserve">  </w:t>
      </w:r>
    </w:p>
    <w:tbl>
      <w:tblPr>
        <w:tblW w:w="9665" w:type="dxa"/>
        <w:jc w:val="left"/>
        <w:tblInd w:w="0" w:type="dxa"/>
        <w:tblLayout w:type="fixed"/>
        <w:tblCellMar>
          <w:top w:w="0" w:type="dxa"/>
          <w:left w:w="0" w:type="dxa"/>
          <w:bottom w:w="0" w:type="dxa"/>
          <w:right w:w="0" w:type="dxa"/>
        </w:tblCellMar>
      </w:tblPr>
      <w:tblGrid>
        <w:gridCol w:w="5195"/>
        <w:gridCol w:w="90"/>
        <w:gridCol w:w="170"/>
        <w:gridCol w:w="1880"/>
        <w:gridCol w:w="185"/>
        <w:gridCol w:w="90"/>
        <w:gridCol w:w="170"/>
        <w:gridCol w:w="1655"/>
        <w:gridCol w:w="230"/>
      </w:tblGrid>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880" w:type="dxa"/>
            <w:tcBorders>
              <w:bottom w:val="single" w:sz="12" w:space="0" w:color="000000"/>
            </w:tcBorders>
            <w:tcMar>
              <w:bottom w:w="28" w:type="dxa"/>
            </w:tcMar>
            <w:vAlign w:val="center"/>
          </w:tcPr>
          <w:p>
            <w:pPr>
              <w:pStyle w:val="TableContents"/>
              <w:bidi w:val="0"/>
              <w:spacing w:before="0" w:after="283"/>
              <w:jc w:val="center"/>
              <w:rPr/>
            </w:pPr>
            <w:r>
              <w:rPr>
                <w:b/>
              </w:rPr>
              <w:t>Operating Leases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55" w:type="dxa"/>
            <w:tcBorders>
              <w:bottom w:val="single" w:sz="12" w:space="0" w:color="000000"/>
            </w:tcBorders>
            <w:tcMar>
              <w:bottom w:w="28" w:type="dxa"/>
            </w:tcMar>
            <w:vAlign w:val="center"/>
          </w:tcPr>
          <w:p>
            <w:pPr>
              <w:pStyle w:val="TableContents"/>
              <w:bidi w:val="0"/>
              <w:spacing w:before="0" w:after="283"/>
              <w:jc w:val="center"/>
              <w:rPr/>
            </w:pPr>
            <w:r>
              <w:rPr>
                <w:b/>
              </w:rPr>
              <w:t>Finance Leases</w:t>
            </w:r>
            <w:r>
              <w:rPr/>
              <w:t xml:space="preserve"> </w:t>
            </w:r>
          </w:p>
        </w:tc>
        <w:tc>
          <w:tcPr>
            <w:tcW w:w="230"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0"/>
              <w:jc w:val="left"/>
              <w:rPr/>
            </w:pPr>
            <w:r>
              <w:rPr>
                <w:b/>
                <w:u w:val="single"/>
              </w:rPr>
              <w:t>Year ending December 31,</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jc w:val="left"/>
              <w:rPr/>
            </w:pPr>
            <w:r>
              <w:rPr/>
              <w:t xml:space="preserve">2026 (excluding the six months ended June 30, 2026)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880" w:type="dxa"/>
            <w:tcBorders/>
            <w:shd w:fill="CCEEFF" w:val="clear"/>
            <w:vAlign w:val="center"/>
          </w:tcPr>
          <w:p>
            <w:pPr>
              <w:pStyle w:val="TableContents"/>
              <w:bidi w:val="0"/>
              <w:spacing w:before="0" w:after="283"/>
              <w:jc w:val="right"/>
              <w:rPr/>
            </w:pPr>
            <w:r>
              <w:rPr/>
              <w:t>10,888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655" w:type="dxa"/>
            <w:tcBorders/>
            <w:shd w:fill="CCEEFF" w:val="clear"/>
            <w:vAlign w:val="center"/>
          </w:tcPr>
          <w:p>
            <w:pPr>
              <w:pStyle w:val="TableContents"/>
              <w:bidi w:val="0"/>
              <w:spacing w:before="0" w:after="283"/>
              <w:jc w:val="right"/>
              <w:rPr/>
            </w:pPr>
            <w:r>
              <w:rPr/>
              <w:t>1,415</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0"/>
              <w:jc w:val="left"/>
              <w:rPr/>
            </w:pPr>
            <w:r>
              <w:rPr/>
              <w:t xml:space="preserve">2027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880" w:type="dxa"/>
            <w:tcBorders/>
            <w:vAlign w:val="center"/>
          </w:tcPr>
          <w:p>
            <w:pPr>
              <w:pStyle w:val="TableContents"/>
              <w:bidi w:val="0"/>
              <w:spacing w:before="0" w:after="283"/>
              <w:jc w:val="right"/>
              <w:rPr/>
            </w:pPr>
            <w:r>
              <w:rPr/>
              <w:t>22,138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655" w:type="dxa"/>
            <w:tcBorders/>
            <w:vAlign w:val="center"/>
          </w:tcPr>
          <w:p>
            <w:pPr>
              <w:pStyle w:val="TableContents"/>
              <w:bidi w:val="0"/>
              <w:spacing w:before="0" w:after="283"/>
              <w:jc w:val="right"/>
              <w:rPr/>
            </w:pPr>
            <w:r>
              <w:rPr/>
              <w:t>2,918</w:t>
            </w:r>
          </w:p>
        </w:tc>
        <w:tc>
          <w:tcPr>
            <w:tcW w:w="23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jc w:val="left"/>
              <w:rPr/>
            </w:pPr>
            <w:r>
              <w:rPr/>
              <w:t xml:space="preserve">2028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880" w:type="dxa"/>
            <w:tcBorders/>
            <w:shd w:fill="CCEEFF" w:val="clear"/>
            <w:vAlign w:val="center"/>
          </w:tcPr>
          <w:p>
            <w:pPr>
              <w:pStyle w:val="TableContents"/>
              <w:bidi w:val="0"/>
              <w:spacing w:before="0" w:after="283"/>
              <w:jc w:val="right"/>
              <w:rPr/>
            </w:pPr>
            <w:r>
              <w:rPr/>
              <w:t>23,213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655" w:type="dxa"/>
            <w:tcBorders/>
            <w:shd w:fill="CCEEFF" w:val="clear"/>
            <w:vAlign w:val="center"/>
          </w:tcPr>
          <w:p>
            <w:pPr>
              <w:pStyle w:val="TableContents"/>
              <w:bidi w:val="0"/>
              <w:spacing w:before="0" w:after="283"/>
              <w:jc w:val="right"/>
              <w:rPr/>
            </w:pPr>
            <w:r>
              <w:rPr/>
              <w:t>3,023</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0"/>
              <w:jc w:val="left"/>
              <w:rPr/>
            </w:pPr>
            <w:r>
              <w:rPr/>
              <w:t xml:space="preserve">2029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880" w:type="dxa"/>
            <w:tcBorders/>
            <w:vAlign w:val="center"/>
          </w:tcPr>
          <w:p>
            <w:pPr>
              <w:pStyle w:val="TableContents"/>
              <w:bidi w:val="0"/>
              <w:spacing w:before="0" w:after="283"/>
              <w:jc w:val="right"/>
              <w:rPr/>
            </w:pPr>
            <w:r>
              <w:rPr/>
              <w:t>21,392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655" w:type="dxa"/>
            <w:tcBorders/>
            <w:vAlign w:val="center"/>
          </w:tcPr>
          <w:p>
            <w:pPr>
              <w:pStyle w:val="TableContents"/>
              <w:bidi w:val="0"/>
              <w:spacing w:before="0" w:after="283"/>
              <w:jc w:val="right"/>
              <w:rPr/>
            </w:pPr>
            <w:r>
              <w:rPr/>
              <w:t>3,132</w:t>
            </w:r>
          </w:p>
        </w:tc>
        <w:tc>
          <w:tcPr>
            <w:tcW w:w="23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jc w:val="left"/>
              <w:rPr/>
            </w:pPr>
            <w:r>
              <w:rPr/>
              <w:t xml:space="preserve">2030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880" w:type="dxa"/>
            <w:tcBorders/>
            <w:shd w:fill="CCEEFF" w:val="clear"/>
            <w:vAlign w:val="center"/>
          </w:tcPr>
          <w:p>
            <w:pPr>
              <w:pStyle w:val="TableContents"/>
              <w:bidi w:val="0"/>
              <w:spacing w:before="0" w:after="283"/>
              <w:jc w:val="right"/>
              <w:rPr/>
            </w:pPr>
            <w:r>
              <w:rPr/>
              <w:t>18,488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655" w:type="dxa"/>
            <w:tcBorders/>
            <w:shd w:fill="CCEEFF" w:val="clear"/>
            <w:vAlign w:val="center"/>
          </w:tcPr>
          <w:p>
            <w:pPr>
              <w:pStyle w:val="TableContents"/>
              <w:bidi w:val="0"/>
              <w:spacing w:before="0" w:after="283"/>
              <w:jc w:val="right"/>
              <w:rPr/>
            </w:pPr>
            <w:r>
              <w:rPr/>
              <w:t>3,244</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0"/>
              <w:jc w:val="left"/>
              <w:rPr/>
            </w:pPr>
            <w:r>
              <w:rPr/>
              <w:t xml:space="preserve">2031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880" w:type="dxa"/>
            <w:tcBorders/>
            <w:vAlign w:val="center"/>
          </w:tcPr>
          <w:p>
            <w:pPr>
              <w:pStyle w:val="TableContents"/>
              <w:bidi w:val="0"/>
              <w:spacing w:before="0" w:after="283"/>
              <w:jc w:val="right"/>
              <w:rPr/>
            </w:pPr>
            <w:r>
              <w:rPr/>
              <w:t>17,362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655" w:type="dxa"/>
            <w:tcBorders/>
            <w:vAlign w:val="center"/>
          </w:tcPr>
          <w:p>
            <w:pPr>
              <w:pStyle w:val="TableContents"/>
              <w:bidi w:val="0"/>
              <w:spacing w:before="0" w:after="283"/>
              <w:jc w:val="right"/>
              <w:rPr/>
            </w:pPr>
            <w:r>
              <w:rPr/>
              <w:t>3,361</w:t>
            </w:r>
          </w:p>
        </w:tc>
        <w:tc>
          <w:tcPr>
            <w:tcW w:w="23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jc w:val="left"/>
              <w:rPr/>
            </w:pPr>
            <w:r>
              <w:rPr/>
              <w:t xml:space="preserve">Thereafter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880" w:type="dxa"/>
            <w:tcBorders>
              <w:bottom w:val="single" w:sz="12" w:space="0" w:color="000000"/>
            </w:tcBorders>
            <w:shd w:fill="CCEEFF" w:val="clear"/>
            <w:tcMar>
              <w:bottom w:w="28" w:type="dxa"/>
            </w:tcMar>
            <w:vAlign w:val="center"/>
          </w:tcPr>
          <w:p>
            <w:pPr>
              <w:pStyle w:val="TableContents"/>
              <w:bidi w:val="0"/>
              <w:spacing w:before="0" w:after="283"/>
              <w:jc w:val="right"/>
              <w:rPr/>
            </w:pPr>
            <w:r>
              <w:rPr/>
              <w:t>141,133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655" w:type="dxa"/>
            <w:tcBorders>
              <w:bottom w:val="single" w:sz="12" w:space="0" w:color="000000"/>
            </w:tcBorders>
            <w:shd w:fill="CCEEFF" w:val="clear"/>
            <w:tcMar>
              <w:bottom w:w="28" w:type="dxa"/>
            </w:tcMar>
            <w:vAlign w:val="center"/>
          </w:tcPr>
          <w:p>
            <w:pPr>
              <w:pStyle w:val="TableContents"/>
              <w:bidi w:val="0"/>
              <w:spacing w:before="0" w:after="283"/>
              <w:jc w:val="right"/>
              <w:rPr/>
            </w:pPr>
            <w:r>
              <w:rPr/>
              <w:t>36,813</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0"/>
              <w:jc w:val="left"/>
              <w:rPr/>
            </w:pPr>
            <w:r>
              <w:rPr/>
              <w:t xml:space="preserve">Total lease payments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880" w:type="dxa"/>
            <w:tcBorders/>
            <w:vAlign w:val="center"/>
          </w:tcPr>
          <w:p>
            <w:pPr>
              <w:pStyle w:val="TableContents"/>
              <w:bidi w:val="0"/>
              <w:spacing w:before="0" w:after="283"/>
              <w:jc w:val="right"/>
              <w:rPr/>
            </w:pPr>
            <w:r>
              <w:rPr/>
              <w:t>254,614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655" w:type="dxa"/>
            <w:tcBorders/>
            <w:vAlign w:val="center"/>
          </w:tcPr>
          <w:p>
            <w:pPr>
              <w:pStyle w:val="TableContents"/>
              <w:bidi w:val="0"/>
              <w:spacing w:before="0" w:after="283"/>
              <w:jc w:val="right"/>
              <w:rPr/>
            </w:pPr>
            <w:r>
              <w:rPr/>
              <w:t>53,906</w:t>
            </w:r>
          </w:p>
        </w:tc>
        <w:tc>
          <w:tcPr>
            <w:tcW w:w="23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jc w:val="left"/>
              <w:rPr/>
            </w:pPr>
            <w:r>
              <w:rPr/>
              <w:t xml:space="preserve">Less: imputed interest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880" w:type="dxa"/>
            <w:tcBorders>
              <w:bottom w:val="single" w:sz="12" w:space="0" w:color="000000"/>
            </w:tcBorders>
            <w:shd w:fill="CCEEFF" w:val="clear"/>
            <w:tcMar>
              <w:bottom w:w="28" w:type="dxa"/>
            </w:tcMar>
            <w:vAlign w:val="center"/>
          </w:tcPr>
          <w:p>
            <w:pPr>
              <w:pStyle w:val="TableContents"/>
              <w:bidi w:val="0"/>
              <w:spacing w:before="0" w:after="283"/>
              <w:jc w:val="right"/>
              <w:rPr/>
            </w:pPr>
            <w:r>
              <w:rPr/>
              <w:t>(83,413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655" w:type="dxa"/>
            <w:tcBorders>
              <w:bottom w:val="single" w:sz="12" w:space="0" w:color="000000"/>
            </w:tcBorders>
            <w:shd w:fill="CCEEFF" w:val="clear"/>
            <w:tcMar>
              <w:bottom w:w="28" w:type="dxa"/>
            </w:tcMar>
            <w:vAlign w:val="center"/>
          </w:tcPr>
          <w:p>
            <w:pPr>
              <w:pStyle w:val="TableContents"/>
              <w:bidi w:val="0"/>
              <w:spacing w:before="0" w:after="283"/>
              <w:jc w:val="right"/>
              <w:rPr/>
            </w:pPr>
            <w:r>
              <w:rPr/>
              <w:t>(23,008</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0"/>
              <w:jc w:val="left"/>
              <w:rPr/>
            </w:pPr>
            <w:r>
              <w:rPr/>
              <w:t xml:space="preserve">Present value of lease liabilities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880" w:type="dxa"/>
            <w:tcBorders>
              <w:bottom w:val="double" w:sz="8" w:space="0" w:color="000000"/>
            </w:tcBorders>
            <w:tcMar>
              <w:bottom w:w="28" w:type="dxa"/>
            </w:tcMar>
            <w:vAlign w:val="center"/>
          </w:tcPr>
          <w:p>
            <w:pPr>
              <w:pStyle w:val="TableContents"/>
              <w:bidi w:val="0"/>
              <w:spacing w:before="0" w:after="283"/>
              <w:jc w:val="right"/>
              <w:rPr/>
            </w:pPr>
            <w:r>
              <w:rPr/>
              <w:t>171,201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655" w:type="dxa"/>
            <w:tcBorders>
              <w:bottom w:val="double" w:sz="8" w:space="0" w:color="000000"/>
            </w:tcBorders>
            <w:tcMar>
              <w:bottom w:w="28" w:type="dxa"/>
            </w:tcMar>
            <w:vAlign w:val="center"/>
          </w:tcPr>
          <w:p>
            <w:pPr>
              <w:pStyle w:val="TableContents"/>
              <w:bidi w:val="0"/>
              <w:spacing w:before="0" w:after="283"/>
              <w:jc w:val="right"/>
              <w:rPr/>
            </w:pPr>
            <w:r>
              <w:rPr/>
              <w:t>30,898</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rPr>
        <w:t>GOODWILL AND LONG-LIVED ASSETS</w:t>
      </w:r>
      <w:r>
        <w:rPr>
          <w:rFonts w:ascii="Times New Roman" w:hAnsi="Times New Roman"/>
          <w:sz w:val="20"/>
        </w:rPr>
        <w:t xml:space="preserve">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342900" cy="146685"/>
                <wp:effectExtent l="0" t="0" r="0" b="0"/>
                <wp:wrapSquare wrapText="right"/>
                <wp:docPr id="29" name="Frame29"/>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sz w:val="20"/>
                              </w:rPr>
                            </w:pPr>
                            <w:r>
                              <w:rPr>
                                <w:b/>
                                <w:sz w:val="20"/>
                              </w:rPr>
                              <w:t>5.</w:t>
                            </w:r>
                            <w:r>
                              <w:rPr>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5.</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Company reviews the carrying value of its long-lived assets and identifiable intangibles annually, or more frequently if necessary, for possible impairment whenever events or changes in circumstances indicate that the carrying amounts may not be recoverable. If the Company determines that an asset’s carrying value is impaired, it will record a write-down of the carrying value of the asset and charge the impairment as an operating expense in the period in which the determination is made. For other long-lived assets, including ROU lease assets, the Company evaluates assets for recoverability when there is an indication of potential impairment. If the undiscounted cash flows from a group of assets being evaluated are less than the carrying value of that group of assets, the fair value of the asset group is determined and the carrying value of the asset group is written down to fair value.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When we perform the quantitative impairment test for long-lived assets, we examine estimated future cash flows using Level 3 inputs. These cash flows are evaluated by using probability-</w:t>
      </w:r>
      <w:r>
        <w:rPr>
          <w:rFonts w:ascii="Times New Roman" w:hAnsi="Times New Roman"/>
          <w:spacing w:val="0"/>
          <w:sz w:val="20"/>
        </w:rPr>
        <w:t>weighted</w:t>
      </w:r>
      <w:r>
        <w:rPr>
          <w:rFonts w:ascii="Times New Roman" w:hAnsi="Times New Roman"/>
          <w:sz w:val="20"/>
        </w:rPr>
        <w:t xml:space="preserve"> techniques as well as comparisons of past performance against projections. Assets may also be evaluated by identifying independent market values.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During the six months ended June 30, 2026 and 2025, there were no impairments of goodwill or long-lived assets.</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sz w:val="20"/>
        </w:rPr>
        <w:t xml:space="preserve">There were no changes in the carrying amount of goodwill during the six months ended June 30, 2026, as presented below: </w:t>
      </w:r>
    </w:p>
    <w:p>
      <w:pPr>
        <w:pStyle w:val="TextBody"/>
        <w:bidi w:val="0"/>
        <w:spacing w:before="0" w:after="0"/>
        <w:jc w:val="left"/>
        <w:rPr/>
      </w:pPr>
      <w:r>
        <w:rPr/>
        <w:t xml:space="preserve">  </w:t>
      </w:r>
    </w:p>
    <w:tbl>
      <w:tblPr>
        <w:tblW w:w="8035" w:type="dxa"/>
        <w:jc w:val="left"/>
        <w:tblInd w:w="0" w:type="dxa"/>
        <w:tblLayout w:type="fixed"/>
        <w:tblCellMar>
          <w:top w:w="0" w:type="dxa"/>
          <w:left w:w="0" w:type="dxa"/>
          <w:bottom w:w="0" w:type="dxa"/>
          <w:right w:w="0" w:type="dxa"/>
        </w:tblCellMar>
      </w:tblPr>
      <w:tblGrid>
        <w:gridCol w:w="3335"/>
        <w:gridCol w:w="90"/>
        <w:gridCol w:w="170"/>
        <w:gridCol w:w="1025"/>
        <w:gridCol w:w="90"/>
        <w:gridCol w:w="90"/>
        <w:gridCol w:w="170"/>
        <w:gridCol w:w="1460"/>
        <w:gridCol w:w="185"/>
        <w:gridCol w:w="90"/>
        <w:gridCol w:w="170"/>
        <w:gridCol w:w="1025"/>
        <w:gridCol w:w="135"/>
      </w:tblGrid>
      <w:tr>
        <w:trPr/>
        <w:tc>
          <w:tcPr>
            <w:tcW w:w="3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r>
              <w:rPr>
                <w:b/>
              </w:rPr>
              <w:t xml:space="preserve">Gross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460" w:type="dxa"/>
            <w:tcBorders/>
            <w:vAlign w:val="center"/>
          </w:tcPr>
          <w:p>
            <w:pPr>
              <w:pStyle w:val="TableContents"/>
              <w:bidi w:val="0"/>
              <w:spacing w:before="0" w:after="283"/>
              <w:jc w:val="center"/>
              <w:rPr>
                <w:b/>
              </w:rPr>
            </w:pPr>
            <w:r>
              <w:rPr>
                <w:b/>
              </w:rPr>
              <w:t xml:space="preserve">Accumulated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r>
              <w:rPr>
                <w:b/>
              </w:rPr>
              <w:t xml:space="preserve">Net </w:t>
            </w:r>
          </w:p>
        </w:tc>
        <w:tc>
          <w:tcPr>
            <w:tcW w:w="135" w:type="dxa"/>
            <w:tcBorders/>
            <w:vAlign w:val="center"/>
          </w:tcPr>
          <w:p>
            <w:pPr>
              <w:pStyle w:val="TableContents"/>
              <w:bidi w:val="0"/>
              <w:spacing w:before="0" w:after="283"/>
              <w:jc w:val="center"/>
              <w:rPr/>
            </w:pPr>
            <w:r>
              <w:rPr/>
              <w:t> </w:t>
            </w:r>
          </w:p>
        </w:tc>
      </w:tr>
      <w:tr>
        <w:trPr/>
        <w:tc>
          <w:tcPr>
            <w:tcW w:w="3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r>
              <w:rPr>
                <w:b/>
              </w:rPr>
              <w:t xml:space="preserve">Goodwill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460" w:type="dxa"/>
            <w:tcBorders/>
            <w:vAlign w:val="center"/>
          </w:tcPr>
          <w:p>
            <w:pPr>
              <w:pStyle w:val="TableContents"/>
              <w:bidi w:val="0"/>
              <w:spacing w:before="0" w:after="283"/>
              <w:jc w:val="center"/>
              <w:rPr>
                <w:b/>
              </w:rPr>
            </w:pPr>
            <w:r>
              <w:rPr>
                <w:b/>
              </w:rPr>
              <w:t xml:space="preserve">Impairment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r>
              <w:rPr>
                <w:b/>
              </w:rPr>
              <w:t xml:space="preserve">Goodwill </w:t>
            </w:r>
          </w:p>
        </w:tc>
        <w:tc>
          <w:tcPr>
            <w:tcW w:w="135" w:type="dxa"/>
            <w:tcBorders/>
            <w:vAlign w:val="center"/>
          </w:tcPr>
          <w:p>
            <w:pPr>
              <w:pStyle w:val="TableContents"/>
              <w:bidi w:val="0"/>
              <w:spacing w:before="0" w:after="283"/>
              <w:jc w:val="center"/>
              <w:rPr/>
            </w:pPr>
            <w:r>
              <w:rPr/>
              <w:t> </w:t>
            </w:r>
          </w:p>
        </w:tc>
      </w:tr>
      <w:tr>
        <w:trPr/>
        <w:tc>
          <w:tcPr>
            <w:tcW w:w="3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6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Losses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w:t>
            </w:r>
          </w:p>
        </w:tc>
        <w:tc>
          <w:tcPr>
            <w:tcW w:w="135" w:type="dxa"/>
            <w:tcBorders/>
            <w:vAlign w:val="center"/>
          </w:tcPr>
          <w:p>
            <w:pPr>
              <w:pStyle w:val="TableContents"/>
              <w:bidi w:val="0"/>
              <w:spacing w:before="0" w:after="283"/>
              <w:jc w:val="center"/>
              <w:rPr/>
            </w:pPr>
            <w:r>
              <w:rPr/>
              <w:t> </w:t>
            </w:r>
          </w:p>
        </w:tc>
      </w:tr>
      <w:tr>
        <w:trPr/>
        <w:tc>
          <w:tcPr>
            <w:tcW w:w="3335" w:type="dxa"/>
            <w:tcBorders/>
            <w:shd w:fill="CCEEFF" w:val="clear"/>
            <w:vAlign w:val="center"/>
          </w:tcPr>
          <w:p>
            <w:pPr>
              <w:pStyle w:val="TableContents"/>
              <w:bidi w:val="0"/>
              <w:spacing w:before="0" w:after="0"/>
              <w:jc w:val="left"/>
              <w:rPr/>
            </w:pPr>
            <w:r>
              <w:rPr/>
              <w:t xml:space="preserve">Balance as of December 31, 2025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117,176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(106,434</w:t>
            </w:r>
          </w:p>
        </w:tc>
        <w:tc>
          <w:tcPr>
            <w:tcW w:w="18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10,742</w:t>
            </w:r>
          </w:p>
        </w:tc>
        <w:tc>
          <w:tcPr>
            <w:tcW w:w="13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jc w:val="left"/>
              <w:rPr/>
            </w:pPr>
            <w:r>
              <w:rPr/>
              <w:t xml:space="preserve">Adjustments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25"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460"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25" w:type="dxa"/>
            <w:tcBorders>
              <w:bottom w:val="single" w:sz="12" w:space="0" w:color="000000"/>
            </w:tcBorders>
            <w:tcMar>
              <w:bottom w:w="28" w:type="dxa"/>
            </w:tcMar>
            <w:vAlign w:val="center"/>
          </w:tcPr>
          <w:p>
            <w:pPr>
              <w:pStyle w:val="TableContents"/>
              <w:bidi w:val="0"/>
              <w:spacing w:before="0" w:after="283"/>
              <w:jc w:val="right"/>
              <w:rPr/>
            </w:pPr>
            <w:r>
              <w:rPr/>
              <w:t> </w:t>
            </w:r>
            <w:r>
              <w:rPr/>
              <w:t xml:space="preserve">- </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pPr>
            <w:r>
              <w:rPr/>
              <w:t xml:space="preserve">Balance as of June 30, 2026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double" w:sz="8" w:space="0" w:color="000000"/>
            </w:tcBorders>
            <w:shd w:fill="CCEEFF" w:val="clear"/>
            <w:tcMar>
              <w:bottom w:w="28" w:type="dxa"/>
            </w:tcMar>
            <w:vAlign w:val="center"/>
          </w:tcPr>
          <w:p>
            <w:pPr>
              <w:pStyle w:val="TableContents"/>
              <w:bidi w:val="0"/>
              <w:spacing w:before="0" w:after="283"/>
              <w:jc w:val="right"/>
              <w:rPr/>
            </w:pPr>
            <w:r>
              <w:rPr/>
              <w:t>117,176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460" w:type="dxa"/>
            <w:tcBorders>
              <w:bottom w:val="double" w:sz="8" w:space="0" w:color="000000"/>
            </w:tcBorders>
            <w:shd w:fill="CCEEFF" w:val="clear"/>
            <w:tcMar>
              <w:bottom w:w="28" w:type="dxa"/>
            </w:tcMar>
            <w:vAlign w:val="center"/>
          </w:tcPr>
          <w:p>
            <w:pPr>
              <w:pStyle w:val="TableContents"/>
              <w:bidi w:val="0"/>
              <w:spacing w:before="0" w:after="283"/>
              <w:jc w:val="right"/>
              <w:rPr/>
            </w:pPr>
            <w:r>
              <w:rPr/>
              <w:t>(106,434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double" w:sz="8" w:space="0" w:color="000000"/>
            </w:tcBorders>
            <w:shd w:fill="CCEEFF" w:val="clear"/>
            <w:tcMar>
              <w:bottom w:w="28" w:type="dxa"/>
            </w:tcMar>
            <w:vAlign w:val="center"/>
          </w:tcPr>
          <w:p>
            <w:pPr>
              <w:pStyle w:val="TableContents"/>
              <w:bidi w:val="0"/>
              <w:spacing w:before="0" w:after="283"/>
              <w:jc w:val="right"/>
              <w:rPr/>
            </w:pPr>
            <w:r>
              <w:rPr/>
              <w:t>10,742</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rPr>
        <w:t>PROPERTY, EQUIPMENT AND FACILITIES</w:t>
      </w:r>
      <w:r>
        <w:rPr>
          <w:rFonts w:ascii="Times New Roman" w:hAnsi="Times New Roman"/>
          <w:sz w:val="20"/>
        </w:rPr>
        <w:t xml:space="preserve">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42900" cy="146685"/>
                <wp:effectExtent l="0" t="0" r="0" b="0"/>
                <wp:wrapSquare wrapText="right"/>
                <wp:docPr id="30" name="Frame30"/>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sz w:val="20"/>
                              </w:rPr>
                            </w:pPr>
                            <w:r>
                              <w:rPr>
                                <w:b/>
                                <w:sz w:val="20"/>
                              </w:rPr>
                              <w:t>6.</w:t>
                            </w:r>
                            <w:r>
                              <w:rPr>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6.</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and December 31, 2025, property, equipment and facilities consisted of the following: </w:t>
      </w:r>
    </w:p>
    <w:p>
      <w:pPr>
        <w:pStyle w:val="TextBody"/>
        <w:bidi w:val="0"/>
        <w:spacing w:before="0" w:after="0"/>
        <w:jc w:val="left"/>
        <w:rPr/>
      </w:pPr>
      <w:r>
        <w:rPr/>
        <w:t xml:space="preserve">  </w:t>
      </w:r>
    </w:p>
    <w:tbl>
      <w:tblPr>
        <w:tblW w:w="9445" w:type="dxa"/>
        <w:jc w:val="left"/>
        <w:tblInd w:w="0" w:type="dxa"/>
        <w:tblLayout w:type="fixed"/>
        <w:tblCellMar>
          <w:top w:w="0" w:type="dxa"/>
          <w:left w:w="0" w:type="dxa"/>
          <w:bottom w:w="0" w:type="dxa"/>
          <w:right w:w="0" w:type="dxa"/>
        </w:tblCellMar>
      </w:tblPr>
      <w:tblGrid>
        <w:gridCol w:w="4655"/>
        <w:gridCol w:w="90"/>
        <w:gridCol w:w="90"/>
        <w:gridCol w:w="1115"/>
        <w:gridCol w:w="90"/>
        <w:gridCol w:w="90"/>
        <w:gridCol w:w="170"/>
        <w:gridCol w:w="965"/>
        <w:gridCol w:w="185"/>
        <w:gridCol w:w="90"/>
        <w:gridCol w:w="170"/>
        <w:gridCol w:w="1505"/>
        <w:gridCol w:w="230"/>
      </w:tblGrid>
      <w:tr>
        <w:trPr/>
        <w:tc>
          <w:tcPr>
            <w:tcW w:w="4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center"/>
              <w:rPr/>
            </w:pPr>
            <w:r>
              <w:rPr>
                <w:b/>
              </w:rPr>
              <w:t>Useful life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b/>
              </w:rPr>
              <w:t>June 30,</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pPr>
            <w:r>
              <w:rPr>
                <w:b/>
              </w:rPr>
              <w:t>December 31,</w:t>
            </w:r>
            <w:r>
              <w:rPr/>
              <w:t xml:space="preserve"> </w:t>
            </w:r>
          </w:p>
        </w:tc>
        <w:tc>
          <w:tcPr>
            <w:tcW w:w="230" w:type="dxa"/>
            <w:tcBorders/>
            <w:vAlign w:val="center"/>
          </w:tcPr>
          <w:p>
            <w:pPr>
              <w:pStyle w:val="TableContents"/>
              <w:bidi w:val="0"/>
              <w:spacing w:before="0" w:after="283"/>
              <w:jc w:val="center"/>
              <w:rPr/>
            </w:pPr>
            <w:r>
              <w:rPr/>
              <w:t> </w:t>
            </w:r>
          </w:p>
        </w:tc>
      </w:tr>
      <w:tr>
        <w:trPr/>
        <w:tc>
          <w:tcPr>
            <w:tcW w:w="4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12" w:space="0" w:color="000000"/>
            </w:tcBorders>
            <w:tcMar>
              <w:bottom w:w="28" w:type="dxa"/>
            </w:tcMar>
            <w:vAlign w:val="center"/>
          </w:tcPr>
          <w:p>
            <w:pPr>
              <w:pStyle w:val="TableContents"/>
              <w:bidi w:val="0"/>
              <w:spacing w:before="0" w:after="283"/>
              <w:jc w:val="center"/>
              <w:rPr/>
            </w:pPr>
            <w:r>
              <w:rPr>
                <w:b/>
              </w:rPr>
              <w:t>(years)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05"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0" w:type="dxa"/>
            <w:tcBorders/>
            <w:vAlign w:val="center"/>
          </w:tcPr>
          <w:p>
            <w:pPr>
              <w:pStyle w:val="TableContents"/>
              <w:bidi w:val="0"/>
              <w:spacing w:before="0" w:after="283"/>
              <w:jc w:val="center"/>
              <w:rPr/>
            </w:pPr>
            <w:r>
              <w:rPr/>
              <w:t> </w:t>
            </w:r>
          </w:p>
        </w:tc>
      </w:tr>
      <w:tr>
        <w:trPr/>
        <w:tc>
          <w:tcPr>
            <w:tcW w:w="4655" w:type="dxa"/>
            <w:tcBorders/>
            <w:shd w:fill="CCEEFF" w:val="clear"/>
            <w:vAlign w:val="center"/>
          </w:tcPr>
          <w:p>
            <w:pPr>
              <w:pStyle w:val="TableContents"/>
              <w:bidi w:val="0"/>
              <w:spacing w:before="0" w:after="0"/>
              <w:jc w:val="left"/>
              <w:rPr/>
            </w:pPr>
            <w:r>
              <w:rPr/>
              <w:t xml:space="preserve">Land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center"/>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505" w:type="dxa"/>
            <w:tcBorders/>
            <w:shd w:fill="CCEEFF" w:val="clear"/>
            <w:vAlign w:val="center"/>
          </w:tcPr>
          <w:p>
            <w:pPr>
              <w:pStyle w:val="TableContents"/>
              <w:bidi w:val="0"/>
              <w:spacing w:before="0" w:after="283"/>
              <w:jc w:val="right"/>
              <w:rPr/>
            </w:pPr>
            <w:r>
              <w:rPr/>
              <w:t>52</w:t>
            </w:r>
          </w:p>
        </w:tc>
        <w:tc>
          <w:tcPr>
            <w:tcW w:w="23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0"/>
              <w:jc w:val="left"/>
              <w:rPr/>
            </w:pPr>
            <w:r>
              <w:rPr/>
              <w:t xml:space="preserve">Buildings and improvements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left"/>
              <w:rPr/>
            </w:pPr>
            <w:r>
              <w:rPr/>
              <w:t>1</w:t>
            </w:r>
            <w:r>
              <w:rPr>
                <w:spacing w:val="0"/>
              </w:rPr>
              <w:t>-25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189,705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505" w:type="dxa"/>
            <w:tcBorders/>
            <w:vAlign w:val="center"/>
          </w:tcPr>
          <w:p>
            <w:pPr>
              <w:pStyle w:val="TableContents"/>
              <w:bidi w:val="0"/>
              <w:spacing w:before="0" w:after="283"/>
              <w:jc w:val="right"/>
              <w:rPr/>
            </w:pPr>
            <w:r>
              <w:rPr/>
              <w:t>183,770</w:t>
            </w:r>
          </w:p>
        </w:tc>
        <w:tc>
          <w:tcPr>
            <w:tcW w:w="23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jc w:val="left"/>
              <w:rPr/>
            </w:pPr>
            <w:r>
              <w:rPr/>
              <w:t xml:space="preserve">Equipment, furniture and fixtures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left"/>
              <w:rPr/>
            </w:pPr>
            <w:r>
              <w:rPr/>
              <w:t>1</w:t>
            </w:r>
            <w:r>
              <w:rPr>
                <w:spacing w:val="0"/>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124,720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505" w:type="dxa"/>
            <w:tcBorders/>
            <w:shd w:fill="CCEEFF" w:val="clear"/>
            <w:vAlign w:val="center"/>
          </w:tcPr>
          <w:p>
            <w:pPr>
              <w:pStyle w:val="TableContents"/>
              <w:bidi w:val="0"/>
              <w:spacing w:before="0" w:after="283"/>
              <w:jc w:val="right"/>
              <w:rPr/>
            </w:pPr>
            <w:r>
              <w:rPr/>
              <w:t>119,681</w:t>
            </w:r>
          </w:p>
        </w:tc>
        <w:tc>
          <w:tcPr>
            <w:tcW w:w="23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0"/>
              <w:jc w:val="left"/>
              <w:rPr/>
            </w:pPr>
            <w:r>
              <w:rPr/>
              <w:t xml:space="preserve">Vehicles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center"/>
              <w:rPr/>
            </w:pPr>
            <w:r>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2,078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505" w:type="dxa"/>
            <w:tcBorders/>
            <w:vAlign w:val="center"/>
          </w:tcPr>
          <w:p>
            <w:pPr>
              <w:pStyle w:val="TableContents"/>
              <w:bidi w:val="0"/>
              <w:spacing w:before="0" w:after="283"/>
              <w:jc w:val="right"/>
              <w:rPr/>
            </w:pPr>
            <w:r>
              <w:rPr/>
              <w:t>1,979</w:t>
            </w:r>
          </w:p>
        </w:tc>
        <w:tc>
          <w:tcPr>
            <w:tcW w:w="23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jc w:val="left"/>
              <w:rPr/>
            </w:pPr>
            <w:r>
              <w:rPr/>
              <w:t xml:space="preserve">Construction in progress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center"/>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center"/>
          </w:tcPr>
          <w:p>
            <w:pPr>
              <w:pStyle w:val="TableContents"/>
              <w:bidi w:val="0"/>
              <w:spacing w:before="0" w:after="283"/>
              <w:jc w:val="right"/>
              <w:rPr/>
            </w:pPr>
            <w:r>
              <w:rPr/>
              <w:t>34,964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14,188</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351,519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505" w:type="dxa"/>
            <w:tcBorders/>
            <w:vAlign w:val="center"/>
          </w:tcPr>
          <w:p>
            <w:pPr>
              <w:pStyle w:val="TableContents"/>
              <w:bidi w:val="0"/>
              <w:spacing w:before="0" w:after="283"/>
              <w:jc w:val="right"/>
              <w:rPr/>
            </w:pPr>
            <w:r>
              <w:rPr/>
              <w:t>319,670</w:t>
            </w:r>
          </w:p>
        </w:tc>
        <w:tc>
          <w:tcPr>
            <w:tcW w:w="23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jc w:val="left"/>
              <w:rPr/>
            </w:pPr>
            <w:r>
              <w:rPr/>
              <w:t xml:space="preserve">Less accumulated depreciation and amortization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center"/>
          </w:tcPr>
          <w:p>
            <w:pPr>
              <w:pStyle w:val="TableContents"/>
              <w:bidi w:val="0"/>
              <w:spacing w:before="0" w:after="283"/>
              <w:jc w:val="right"/>
              <w:rPr/>
            </w:pPr>
            <w:r>
              <w:rPr/>
              <w:t>(160,833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505" w:type="dxa"/>
            <w:tcBorders>
              <w:bottom w:val="single" w:sz="12" w:space="0" w:color="000000"/>
            </w:tcBorders>
            <w:shd w:fill="CCEEFF" w:val="clear"/>
            <w:tcMar>
              <w:bottom w:w="28" w:type="dxa"/>
            </w:tcMar>
            <w:vAlign w:val="center"/>
          </w:tcPr>
          <w:p>
            <w:pPr>
              <w:pStyle w:val="TableContents"/>
              <w:bidi w:val="0"/>
              <w:spacing w:before="0" w:after="283"/>
              <w:jc w:val="right"/>
              <w:rPr/>
            </w:pPr>
            <w:r>
              <w:rPr/>
              <w:t>(148,067</w:t>
            </w:r>
          </w:p>
        </w:tc>
        <w:tc>
          <w:tcPr>
            <w:tcW w:w="23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965" w:type="dxa"/>
            <w:tcBorders>
              <w:bottom w:val="double" w:sz="8" w:space="0" w:color="000000"/>
            </w:tcBorders>
            <w:tcMar>
              <w:bottom w:w="28" w:type="dxa"/>
            </w:tcMar>
            <w:vAlign w:val="center"/>
          </w:tcPr>
          <w:p>
            <w:pPr>
              <w:pStyle w:val="TableContents"/>
              <w:bidi w:val="0"/>
              <w:spacing w:before="0" w:after="283"/>
              <w:jc w:val="right"/>
              <w:rPr/>
            </w:pPr>
            <w:r>
              <w:rPr/>
              <w:t>190,686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505" w:type="dxa"/>
            <w:tcBorders>
              <w:bottom w:val="double" w:sz="8" w:space="0" w:color="000000"/>
            </w:tcBorders>
            <w:tcMar>
              <w:bottom w:w="28" w:type="dxa"/>
            </w:tcMar>
            <w:vAlign w:val="center"/>
          </w:tcPr>
          <w:p>
            <w:pPr>
              <w:pStyle w:val="TableContents"/>
              <w:bidi w:val="0"/>
              <w:spacing w:before="0" w:after="283"/>
              <w:jc w:val="right"/>
              <w:rPr/>
            </w:pPr>
            <w:r>
              <w:rPr/>
              <w:t>171,603</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Property, equipment and facilities are recorded at cost, with depreciation expense included in our educational services and facilities and selling, general and administrative expenses in our Condensed Consolidated Statements of Operations.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increase in property, equipment and facilities was driven by several factors, including a $20.9 million investment relating primarily to the build-out of the new campuses in Hicksville, New York and Rowlett, Texas; $3.8 million in new and expanded programs at various campuses; and $8.5 million in facilities upgrades, training materials, and equipment, including security and campus upgrades and refurbishments. Depreciation and amortization expense of property, equipment and facilities was $7.8 million and $4.7 million for the three months ended June 30, 2026 and 2025, respectively, and $15.4 million and $8.5 million for the six months ended June 30, 2026 and 2025, respectively, which includes amortization of finance leases of $0.4 million for the three-month periods and $0.8 million for the six-month periods, respectively.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rPr>
        <w:t>LONG-TERM DEBT</w:t>
      </w:r>
      <w:r>
        <w:rPr>
          <w:rFonts w:ascii="Times New Roman" w:hAnsi="Times New Roman"/>
          <w:sz w:val="20"/>
        </w:rPr>
        <w:t xml:space="preserve">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42900" cy="146685"/>
                <wp:effectExtent l="0" t="0" r="0" b="0"/>
                <wp:wrapSquare wrapText="right"/>
                <wp:docPr id="31" name="Frame31"/>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sz w:val="20"/>
                              </w:rPr>
                            </w:pPr>
                            <w:r>
                              <w:rPr>
                                <w:b/>
                                <w:sz w:val="20"/>
                              </w:rPr>
                              <w:t>7.</w:t>
                            </w:r>
                            <w:r>
                              <w:rPr>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7.</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Credit Facility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On February 16, 2024, the Company entered into a secured credit agreement (the “Credit Agreement”) with Fifth Third Bank, National Association</w:t>
      </w:r>
      <w:r>
        <w:rPr>
          <w:rFonts w:ascii="Times New Roman" w:hAnsi="Times New Roman"/>
          <w:sz w:val="20"/>
          <w:u w:val="single"/>
        </w:rPr>
        <w:t>,</w:t>
      </w:r>
      <w:r>
        <w:rPr>
          <w:rFonts w:ascii="Times New Roman" w:hAnsi="Times New Roman"/>
          <w:sz w:val="20"/>
        </w:rPr>
        <w:t xml:space="preserve"> pursuant to which the Company, as borrower, obtained a revolving credit facility in the aggregate principal amount of $40.0 million, including a $10.0 million letter of credit sublimit and a $20.0 million accordion feature (the “Facility”), the proceeds of which are to be used for working capital, general corporate and certain other permitted purposes. The initial term of the Facility was 36 months, maturing on February 16, 2027.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On June 28, 2024, the Company entered into a first amendment (the “First Amendment”) to the Credit Agreement. Among other things, the First Amendment effected certain modifications to (i) clarify certain representations and affirmative covenants of the Company, (ii) clarify certain conditions to each advance, (iii) clarify and/or replace certain events of default and (iv) delete or revise certain definitions in order to harmonize them with the other modifications made. The First Amendment also contained customary releases, representations, warranties, and reaffirmations consistent with the original terms of the Credit Agreement. Except as set forth above, the First Amendment did not materially alter the Credit Agreement.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On March 7, 2025, the Company entered into a second amendment (the “Second Amendment”) to the Credit Agreement, which increased the aggregate principal amount available under the Facility from $40.0 million to $60.0 million. The Second Amendment also expanded the accordion feature from $20.0 million to $25.0 million and extended the maturity date of the Facility from February 16, 2027 to March 7, 2028. Except as set forth above, the Second Amendment did not materially alter the Credit Agreement.</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sz w:val="20"/>
        </w:rPr>
        <w:t>On April 13, 2026, the Company entered into an amended and restated credit agreement (the “Amended and Restated Credit Agreement”) with the lenders referred to therein (the “Lenders”), including Fifth Third Bank, National Association as lender and as administrative agent, joint lead arranger, and joint bookrunner, and Flagstar Bank, N.A., Provident Bank, and Santander Bank, N.A. as lenders and as joint lead arrangers and joint bookrunners. The Amended and Restated Credit Agreement, which replaces the Credit Agreement, provides the Company, as borrower, with a revolving credit facility in the aggregate principal amount of $125 million, with a $10 million letter of credit sublimit and a $25 million accordion feature, and extends the maturity date from March 7, 2028</w:t>
      </w:r>
      <w:r>
        <w:rPr>
          <w:rFonts w:ascii="Times New Roman" w:hAnsi="Times New Roman"/>
          <w:color w:val="008000"/>
          <w:sz w:val="20"/>
          <w:u w:val="single"/>
        </w:rPr>
        <w:t>,</w:t>
      </w:r>
      <w:r>
        <w:rPr>
          <w:rFonts w:ascii="Times New Roman" w:hAnsi="Times New Roman"/>
          <w:sz w:val="20"/>
        </w:rPr>
        <w:t xml:space="preserve"> to April 11, 2031</w:t>
      </w:r>
      <w:r>
        <w:rPr>
          <w:rFonts w:ascii="Times New Roman" w:hAnsi="Times New Roman"/>
          <w:color w:val="008000"/>
          <w:sz w:val="20"/>
          <w:u w:val="single"/>
        </w:rPr>
        <w:t> </w:t>
      </w:r>
      <w:r>
        <w:rPr>
          <w:rFonts w:ascii="Times New Roman" w:hAnsi="Times New Roman"/>
          <w:sz w:val="20"/>
        </w:rPr>
        <w:t xml:space="preserve">(the “Amended and Restated Facility”). The proceeds of the Amended and Restated Facility may be used for working capital, general corporate and certain other permitted purposes.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Amended and Restated Facility is guaranteed by the Company’s wholly-owned subsidiaries and is secured by a first-priority lien in favor of Fifth Third Bank, National Association, for the benefit of the Lenders, on substantially all of the personal property owned by the Company and its subsidiaries pursuant to an amended and restated guaranty and security agreement, dated as of April 13, 2026.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Each advance under the Amended and Restated Facility will bear interest on the outstanding principal amount thereof from the date when made at an interest rate determined, at the election of the Company, at either the tranche rate (which is the forward-looking Secured Overnight Financing Rate (SOFR) for one or three months), or the base rate (which is a variable per annum rate, as of any date of determination, equal to the prime rate), plus an applicable margin. The applicable margin is determined pursuant to a pricing grid, which for loans subject to the tranche rate varies from 1.50% to 2.25%, and for loans subject to the base rate varies from 0.50% to 1.25%. The applicable margin may change quarterly based on the total leverage ratio at such time. The total leverage ratio is determined with respect to the Company and its subsidiaries on a consolidated basis for an applicable quarterly period by dividing the aggregate principal amount of various forms of borrowed indebtedness as of the last day of a determination period by EBITDA (earnings before interest expense, taxes, depreciation and amortization) for such period. Interest is payable in arrears, either quarterly or monthly, depending on the Company’s interest rate election, with the principal due at maturity.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Amended and Restated Credit Agreement contains various customary representations, warranties and affirmative, negative and financial covenants, as well as events of default customary for facilities of this type.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original Facility and the Amended and Restated Facility, the Company has incurred a total of approximately $1.6 million in bank and legal fees consisting of approximately $0.5 million to execute the Facility, an additional $0.1 million relating to the Second Amendment and an additional $1.0 million for the Amended and Restated Facility. These fees have been capitalized and are being amortized.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For the three and six months ended June 30, 2026, interest paid in connection with the original Facility and the Amended and Restated Facility was approximately $0.4 million and $0.6 million compared to $0.1 million and $0.2 million for the three and six months ended June 30, 2025.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Company had $26.0 million outstanding under the Amended and Restated Facility.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rPr>
        <w:t>STOCKHOLDERS’ EQUITY</w:t>
      </w:r>
      <w:r>
        <w:rPr>
          <w:rFonts w:ascii="Times New Roman" w:hAnsi="Times New Roman"/>
          <w:sz w:val="20"/>
        </w:rPr>
        <w:t xml:space="preserve">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342900" cy="146685"/>
                <wp:effectExtent l="0" t="0" r="0" b="0"/>
                <wp:wrapSquare wrapText="right"/>
                <wp:docPr id="32" name="Frame32"/>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before="0" w:after="283"/>
                              <w:jc w:val="left"/>
                              <w:rPr>
                                <w:sz w:val="20"/>
                              </w:rPr>
                            </w:pPr>
                            <w:r>
                              <w:rPr>
                                <w:b/>
                                <w:sz w:val="20"/>
                              </w:rPr>
                              <w:t>8.</w:t>
                            </w:r>
                            <w:r>
                              <w:rPr>
                                <w:sz w:val="20"/>
                              </w:rPr>
                              <w:t xml:space="preserve"> </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8.</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Company had 100,000,000 shares of Common Stock authorized of which 31,722,150 shares were issued and outstanding. Holders of our Common Stock are entitled to receive dividends when and as declared by our Board of Directors and have the right to one vote per share on all matters requiring shareholder approval. The Company has not declared or paid any cash dividends on our Common Stock since the Company’s Board of Directors discontinued our quarterly cash dividend program in February 2015. The Company currently has no intention of resuming the payment of cash dividends in the foreseeable future.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Long-Term Incentive Plan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Company currently maintains one active stock incentive plan, the Lincoln Educational Services Corporation 2020 Long-Term Incentive Plan (the “LTIP”).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On March 26, 2020, the Board of Directors adopted the LTIP to provide an incentive to certain directors, officers and employees of the Company to align their interests in the Company’s success with those of its shareholders through the grant of equity-based awards. On June 16, 2020, the shareholders of the Company approved the LTIP. The LTIP is administered by the Compensation Committee of the Board of Directors, or such other qualified committee appointed by the Board of Directors, which, among other duties, has the full power and authority to take all actions and make all determinations required or provided for under the LTIP. Pursuant to the LTIP, the Company may grant options, share appreciation rights, restricted shares, restricted share units, incentive stock options, and nonqualified stock options. Under the LTIP, employees may surrender shares to satisfy applicable income tax withholding on the vested Restricted Stock. The LTIP has a duration of 10 years. On February 23, 2023, the Board of Directors approved, subject to shareholder approval, an amendment of the LTIP to increase the aggregate number of shares available under the LTIP from 2,000,000 shares to 4,000,000 shares. The amendment was approved and adopted by the shareholders at the Annual Meeting of Shareholders held on May 5, 2023.</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i/>
          <w:sz w:val="20"/>
        </w:rPr>
        <w:t>Time-Based and Performance-Based Restricted Stock Awards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We provide stock-based compensation to employees, officers and directors in the form of awards of restricted stock (the "Restricted Stock Awards”) under our LTIP, which are conditioned upon either continued service (the "Time-Based Restricted Stock Awards”) or both continued service and achievement of performance goals (the "Performance-Based Restricted Stock Awards” or “Performance-Based Restricted Stock Shares”). Performance-Based Restricted Stock Shares granted prior to 2025, are eligible to vest only upon achievement of at least 100% of the performance target, with no shares vesting unless the target is met. In 2025, the Company granted Performance-Based Restricted Stock Shares to employees, officers, and directors that vest based on the percentage of Adjusted EBITDA achieved for the year. Under such grants, no shares vest in the event that less than 80% of the target is achieved; vesting begins at 25% for 80% achievement and increases on a linear scale up to 200% vesting for achievement of 120% or more of the target. In 2025, the Company also granted Performance-Based Restricted Stock Shares to certain executives that vest based on the achievement of a specified percentage of target Adjusted EBITDA for fiscal year 2027. Under such grants, no shares vest in the event that less than 90% of the target is achieved; vesting begins at 25% for 90% achievement and increases on a linear scale up to 100% vesting for achievement of 100% or more of the target.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Compensation Committee believes that a combination of Time-Based Restricted Stock Awards and Performance-Based Restricted Stock Awards, of which performance-based awards comprise 50% of the total, is well-designed to align the interests of directors, officers and employees with those of shareholders by tying compensation to the achievement of the Company’s long-term performance goals.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Company accounts for Restricted Stock Awards in accordance with ASC 718 - </w:t>
      </w:r>
      <w:r>
        <w:rPr>
          <w:rFonts w:ascii="Times New Roman" w:hAnsi="Times New Roman"/>
          <w:i/>
          <w:sz w:val="20"/>
        </w:rPr>
        <w:t>Compensation-Stock Compensation</w:t>
      </w:r>
      <w:r>
        <w:rPr>
          <w:rFonts w:ascii="Times New Roman" w:hAnsi="Times New Roman"/>
          <w:sz w:val="20"/>
        </w:rPr>
        <w:t xml:space="preserve">, recognizing compensation expense based on the grant-date fair value of our Common Stock. Expense is recognized on a straight-line basis over the requisite service period, which is generally the vesting period, and for performance-based awards, only to the extent that it is probable the performance conditions will be achieved.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expense related to Restricted Stock Awards for the three and six months ended June 30, 2026 was $1.6 million and $3.1 million, respectively, compared to $1.3 million and $2.5 million for the three and six months ended June 30, 2025, respectively. The unrecognized Restricted stock expense as of June 30, 2026 and December 31, 2025 was $11.2 million and $6.0 million, respectively. As of June 30, 2026, the outstanding Restricted Stock Awards under the LTIP had an aggregate intrinsic value of $30.6 million compared to $18.4 million in the prior year comparable period.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For the three and six months ended June 30, 2026, the Company completed a net share settlement of 132 shares and 184,834 shares, respectively, compared to zero shares and 197,973 restricted shares for the three and six months ended June 30, 2025. The net share settlement was performed on behalf of certain employees that participate in the LTIP upon the vesting of the restricted shares pursuant to the terms of the LTIP. The net share settlement was in connection with income taxes incurred on restricted shares that vested and were transferred to the employees during 2026, creating taxable income for the employees. At the employees’ request, the Company paid these taxes on behalf of the employees in exchange for the employees returning an equivalent value of restricted shares to the Company. These transactions resulted in a decrease of less than $0.1 million and $6.7 million for the three and six months ended June 30, 2026, compared to zero and $3.6 million for the three and six months ended June 30, 2025, respectively, to equity on the Condensed Consolidated Balance Sheets as the cash payment of the taxes effectively was a repurchase of the restricted shares granted in previous years.</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following is a summary of transactions pertaining to Restricted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740"/>
        <w:gridCol w:w="110"/>
        <w:gridCol w:w="111"/>
        <w:gridCol w:w="1116"/>
        <w:gridCol w:w="229"/>
        <w:gridCol w:w="110"/>
        <w:gridCol w:w="210"/>
        <w:gridCol w:w="1412"/>
        <w:gridCol w:w="167"/>
      </w:tblGrid>
      <w:tr>
        <w:trPr/>
        <w:tc>
          <w:tcPr>
            <w:tcW w:w="674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center"/>
              <w:rPr/>
            </w:pPr>
            <w:r>
              <w:rPr/>
              <w:t> </w:t>
            </w:r>
          </w:p>
        </w:tc>
        <w:tc>
          <w:tcPr>
            <w:tcW w:w="111"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116"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Shares</w:t>
            </w:r>
          </w:p>
        </w:tc>
        <w:tc>
          <w:tcPr>
            <w:tcW w:w="229" w:type="dxa"/>
            <w:tcBorders/>
            <w:vAlign w:val="bottom"/>
          </w:tcPr>
          <w:p>
            <w:pPr>
              <w:pStyle w:val="TableContents"/>
              <w:bidi w:val="0"/>
              <w:spacing w:before="0" w:after="283"/>
              <w:jc w:val="center"/>
              <w:rPr/>
            </w:pPr>
            <w:r>
              <w:rPr/>
              <w:t> </w:t>
            </w:r>
          </w:p>
        </w:tc>
        <w:tc>
          <w:tcPr>
            <w:tcW w:w="110" w:type="dxa"/>
            <w:tcBorders/>
            <w:vAlign w:val="bottom"/>
          </w:tcPr>
          <w:p>
            <w:pPr>
              <w:pStyle w:val="TableContents"/>
              <w:bidi w:val="0"/>
              <w:spacing w:before="0" w:after="283"/>
              <w:jc w:val="center"/>
              <w:rPr/>
            </w:pPr>
            <w:r>
              <w:rPr/>
              <w:t> </w:t>
            </w:r>
          </w:p>
        </w:tc>
        <w:tc>
          <w:tcPr>
            <w:tcW w:w="21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412"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 xml:space="preserve">Weighted </w:t>
              <w:br/>
              <w:t>Average</w:t>
            </w:r>
          </w:p>
          <w:p>
            <w:pPr>
              <w:pStyle w:val="TableContents"/>
              <w:bidi w:val="0"/>
              <w:spacing w:before="0" w:after="0"/>
              <w:ind w:left="0" w:right="0" w:hanging="0"/>
              <w:jc w:val="center"/>
              <w:rPr>
                <w:b/>
              </w:rPr>
            </w:pPr>
            <w:r>
              <w:rPr>
                <w:b/>
              </w:rPr>
              <w:t xml:space="preserve">Grant </w:t>
              <w:br/>
              <w:t>Date</w:t>
            </w:r>
          </w:p>
          <w:p>
            <w:pPr>
              <w:pStyle w:val="TableContents"/>
              <w:bidi w:val="0"/>
              <w:spacing w:before="0" w:after="0"/>
              <w:ind w:left="0" w:right="0" w:hanging="0"/>
              <w:jc w:val="center"/>
              <w:rPr>
                <w:b/>
              </w:rPr>
            </w:pPr>
            <w:r>
              <w:rPr>
                <w:b/>
              </w:rPr>
              <w:t>Fair Value</w:t>
            </w:r>
          </w:p>
          <w:p>
            <w:pPr>
              <w:pStyle w:val="TableContents"/>
              <w:bidi w:val="0"/>
              <w:spacing w:before="0" w:after="0"/>
              <w:ind w:left="0" w:right="0" w:hanging="0"/>
              <w:jc w:val="center"/>
              <w:rPr>
                <w:b/>
              </w:rPr>
            </w:pPr>
            <w:r>
              <w:rPr>
                <w:b/>
              </w:rPr>
              <w:t>Per Share</w:t>
            </w:r>
          </w:p>
        </w:tc>
        <w:tc>
          <w:tcPr>
            <w:tcW w:w="167" w:type="dxa"/>
            <w:tcBorders/>
            <w:vAlign w:val="bottom"/>
          </w:tcPr>
          <w:p>
            <w:pPr>
              <w:pStyle w:val="TableContents"/>
              <w:bidi w:val="0"/>
              <w:spacing w:before="0" w:after="283"/>
              <w:jc w:val="center"/>
              <w:rPr/>
            </w:pPr>
            <w:r>
              <w:rPr/>
              <w:t> </w:t>
            </w:r>
          </w:p>
        </w:tc>
      </w:tr>
      <w:tr>
        <w:trPr/>
        <w:tc>
          <w:tcPr>
            <w:tcW w:w="6740" w:type="dxa"/>
            <w:tcBorders/>
            <w:shd w:fill="CCEEFF" w:val="clear"/>
            <w:vAlign w:val="bottom"/>
          </w:tcPr>
          <w:p>
            <w:pPr>
              <w:pStyle w:val="TableContents"/>
              <w:bidi w:val="0"/>
              <w:spacing w:before="0" w:after="283"/>
              <w:ind w:left="0" w:right="0" w:hanging="0"/>
              <w:jc w:val="left"/>
              <w:rPr/>
            </w:pPr>
            <w:r>
              <w:rPr/>
              <w:t>Nonvested </w:t>
            </w:r>
            <w:r>
              <w:rPr>
                <w:sz w:val="20"/>
              </w:rPr>
              <w:t>Restricted Stock outstanding at December 31, 2025</w:t>
            </w:r>
          </w:p>
        </w:tc>
        <w:tc>
          <w:tcPr>
            <w:tcW w:w="110" w:type="dxa"/>
            <w:tcBorders/>
            <w:shd w:fill="CCEEFF" w:val="clear"/>
            <w:vAlign w:val="bottom"/>
          </w:tcPr>
          <w:p>
            <w:pPr>
              <w:pStyle w:val="TableContents"/>
              <w:bidi w:val="0"/>
              <w:spacing w:before="0" w:after="0"/>
              <w:ind w:left="0" w:right="0" w:hanging="0"/>
              <w:jc w:val="right"/>
              <w:rPr/>
            </w:pPr>
            <w:r>
              <w:rPr/>
              <w:t> </w:t>
            </w:r>
          </w:p>
        </w:tc>
        <w:tc>
          <w:tcPr>
            <w:tcW w:w="111" w:type="dxa"/>
            <w:tcBorders/>
            <w:shd w:fill="CCEEFF" w:val="clear"/>
            <w:vAlign w:val="bottom"/>
          </w:tcPr>
          <w:p>
            <w:pPr>
              <w:pStyle w:val="TableContents"/>
              <w:bidi w:val="0"/>
              <w:spacing w:before="0" w:after="0"/>
              <w:ind w:left="0" w:right="0" w:hanging="0"/>
              <w:jc w:val="left"/>
              <w:rPr/>
            </w:pPr>
            <w:r>
              <w:rPr/>
              <w:t> </w:t>
            </w:r>
          </w:p>
        </w:tc>
        <w:tc>
          <w:tcPr>
            <w:tcW w:w="1116" w:type="dxa"/>
            <w:tcBorders/>
            <w:shd w:fill="CCEEFF" w:val="clear"/>
            <w:vAlign w:val="bottom"/>
          </w:tcPr>
          <w:p>
            <w:pPr>
              <w:pStyle w:val="TableContents"/>
              <w:bidi w:val="0"/>
              <w:spacing w:before="0" w:after="0"/>
              <w:ind w:left="0" w:right="0" w:hanging="0"/>
              <w:jc w:val="right"/>
              <w:rPr/>
            </w:pPr>
            <w:r>
              <w:rPr/>
              <w:t>809,376</w:t>
            </w:r>
          </w:p>
        </w:tc>
        <w:tc>
          <w:tcPr>
            <w:tcW w:w="229" w:type="dxa"/>
            <w:tcBorders/>
            <w:shd w:fill="CCEEFF" w:val="clear"/>
            <w:vAlign w:val="bottom"/>
          </w:tcPr>
          <w:p>
            <w:pPr>
              <w:pStyle w:val="TableContents"/>
              <w:bidi w:val="0"/>
              <w:spacing w:before="0" w:after="0"/>
              <w:ind w:left="0" w:right="0" w:hanging="0"/>
              <w:jc w:val="left"/>
              <w:rPr/>
            </w:pPr>
            <w:r>
              <w:rPr/>
              <w:t> </w:t>
            </w:r>
          </w:p>
        </w:tc>
        <w:tc>
          <w:tcPr>
            <w:tcW w:w="110" w:type="dxa"/>
            <w:tcBorders/>
            <w:shd w:fill="CCEEFF" w:val="clear"/>
            <w:vAlign w:val="bottom"/>
          </w:tcPr>
          <w:p>
            <w:pPr>
              <w:pStyle w:val="TableContents"/>
              <w:bidi w:val="0"/>
              <w:spacing w:before="0" w:after="0"/>
              <w:ind w:left="0" w:right="0" w:hanging="0"/>
              <w:jc w:val="left"/>
              <w:rPr/>
            </w:pPr>
            <w:r>
              <w:rPr/>
              <w:t> </w:t>
            </w:r>
          </w:p>
        </w:tc>
        <w:tc>
          <w:tcPr>
            <w:tcW w:w="210" w:type="dxa"/>
            <w:tcBorders/>
            <w:shd w:fill="CCEEFF" w:val="clear"/>
            <w:vAlign w:val="bottom"/>
          </w:tcPr>
          <w:p>
            <w:pPr>
              <w:pStyle w:val="TableContents"/>
              <w:bidi w:val="0"/>
              <w:spacing w:before="0" w:after="0"/>
              <w:ind w:left="0" w:right="0" w:hanging="0"/>
              <w:jc w:val="left"/>
              <w:rPr/>
            </w:pPr>
            <w:r>
              <w:rPr/>
              <w:t>$</w:t>
            </w:r>
          </w:p>
        </w:tc>
        <w:tc>
          <w:tcPr>
            <w:tcW w:w="1412" w:type="dxa"/>
            <w:tcBorders/>
            <w:shd w:fill="CCEEFF" w:val="clear"/>
            <w:vAlign w:val="bottom"/>
          </w:tcPr>
          <w:p>
            <w:pPr>
              <w:pStyle w:val="TableContents"/>
              <w:bidi w:val="0"/>
              <w:spacing w:before="0" w:after="0"/>
              <w:ind w:left="0" w:right="0" w:hanging="0"/>
              <w:jc w:val="right"/>
              <w:rPr/>
            </w:pPr>
            <w:r>
              <w:rPr/>
              <w:t>12.94</w:t>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6740" w:type="dxa"/>
            <w:tcBorders/>
            <w:vAlign w:val="bottom"/>
          </w:tcPr>
          <w:p>
            <w:pPr>
              <w:pStyle w:val="TableContents"/>
              <w:bidi w:val="0"/>
              <w:spacing w:before="0" w:after="0"/>
              <w:ind w:left="0" w:right="0" w:hanging="0"/>
              <w:jc w:val="left"/>
              <w:rPr/>
            </w:pPr>
            <w:r>
              <w:rPr/>
              <w:t>Granted</w:t>
            </w:r>
          </w:p>
        </w:tc>
        <w:tc>
          <w:tcPr>
            <w:tcW w:w="110" w:type="dxa"/>
            <w:tcBorders/>
            <w:vAlign w:val="bottom"/>
          </w:tcPr>
          <w:p>
            <w:pPr>
              <w:pStyle w:val="TableContents"/>
              <w:bidi w:val="0"/>
              <w:spacing w:before="0" w:after="0"/>
              <w:ind w:left="0" w:right="0" w:hanging="0"/>
              <w:jc w:val="right"/>
              <w:rPr/>
            </w:pPr>
            <w:r>
              <w:rPr/>
              <w:t> </w:t>
            </w:r>
          </w:p>
        </w:tc>
        <w:tc>
          <w:tcPr>
            <w:tcW w:w="111" w:type="dxa"/>
            <w:tcBorders/>
            <w:vAlign w:val="bottom"/>
          </w:tcPr>
          <w:p>
            <w:pPr>
              <w:pStyle w:val="TableContents"/>
              <w:bidi w:val="0"/>
              <w:spacing w:before="0" w:after="0"/>
              <w:ind w:left="0" w:right="0" w:hanging="0"/>
              <w:jc w:val="left"/>
              <w:rPr/>
            </w:pPr>
            <w:r>
              <w:rPr/>
              <w:t> </w:t>
            </w:r>
          </w:p>
        </w:tc>
        <w:tc>
          <w:tcPr>
            <w:tcW w:w="1116" w:type="dxa"/>
            <w:tcBorders/>
            <w:vAlign w:val="bottom"/>
          </w:tcPr>
          <w:p>
            <w:pPr>
              <w:pStyle w:val="TableContents"/>
              <w:bidi w:val="0"/>
              <w:spacing w:before="0" w:after="0"/>
              <w:ind w:left="0" w:right="0" w:hanging="0"/>
              <w:jc w:val="right"/>
              <w:rPr/>
            </w:pPr>
            <w:r>
              <w:rPr/>
              <w:t>253,946</w:t>
            </w:r>
          </w:p>
        </w:tc>
        <w:tc>
          <w:tcPr>
            <w:tcW w:w="229" w:type="dxa"/>
            <w:tcBorders/>
            <w:vAlign w:val="bottom"/>
          </w:tcPr>
          <w:p>
            <w:pPr>
              <w:pStyle w:val="TableContents"/>
              <w:bidi w:val="0"/>
              <w:spacing w:before="0" w:after="0"/>
              <w:ind w:left="0" w:right="0" w:hanging="0"/>
              <w:jc w:val="left"/>
              <w:rPr/>
            </w:pPr>
            <w:r>
              <w:rPr/>
              <w:t> </w:t>
            </w:r>
          </w:p>
        </w:tc>
        <w:tc>
          <w:tcPr>
            <w:tcW w:w="110" w:type="dxa"/>
            <w:tcBorders/>
            <w:vAlign w:val="bottom"/>
          </w:tcPr>
          <w:p>
            <w:pPr>
              <w:pStyle w:val="TableContents"/>
              <w:bidi w:val="0"/>
              <w:spacing w:before="0" w:after="0"/>
              <w:ind w:left="0" w:right="0" w:hanging="0"/>
              <w:jc w:val="right"/>
              <w:rPr/>
            </w:pPr>
            <w:r>
              <w:rPr/>
              <w:t> </w:t>
            </w:r>
          </w:p>
        </w:tc>
        <w:tc>
          <w:tcPr>
            <w:tcW w:w="210" w:type="dxa"/>
            <w:tcBorders/>
            <w:vAlign w:val="bottom"/>
          </w:tcPr>
          <w:p>
            <w:pPr>
              <w:pStyle w:val="TableContents"/>
              <w:bidi w:val="0"/>
              <w:spacing w:before="0" w:after="0"/>
              <w:ind w:left="0" w:right="0" w:hanging="0"/>
              <w:jc w:val="left"/>
              <w:rPr/>
            </w:pPr>
            <w:r>
              <w:rPr/>
              <w:t> </w:t>
            </w:r>
          </w:p>
        </w:tc>
        <w:tc>
          <w:tcPr>
            <w:tcW w:w="1412" w:type="dxa"/>
            <w:tcBorders/>
            <w:vAlign w:val="bottom"/>
          </w:tcPr>
          <w:p>
            <w:pPr>
              <w:pStyle w:val="TableContents"/>
              <w:bidi w:val="0"/>
              <w:spacing w:before="0" w:after="0"/>
              <w:ind w:left="0" w:right="0" w:hanging="0"/>
              <w:jc w:val="right"/>
              <w:rPr/>
            </w:pPr>
            <w:r>
              <w:rPr/>
              <w:t>32.43</w:t>
            </w:r>
          </w:p>
        </w:tc>
        <w:tc>
          <w:tcPr>
            <w:tcW w:w="167" w:type="dxa"/>
            <w:tcBorders/>
            <w:vAlign w:val="bottom"/>
          </w:tcPr>
          <w:p>
            <w:pPr>
              <w:pStyle w:val="TableContents"/>
              <w:bidi w:val="0"/>
              <w:spacing w:before="0" w:after="0"/>
              <w:jc w:val="left"/>
              <w:rPr/>
            </w:pPr>
            <w:r>
              <w:rPr/>
              <w:t> </w:t>
            </w:r>
          </w:p>
        </w:tc>
      </w:tr>
      <w:tr>
        <w:trPr/>
        <w:tc>
          <w:tcPr>
            <w:tcW w:w="6740" w:type="dxa"/>
            <w:tcBorders/>
            <w:shd w:fill="CCEEFF" w:val="clear"/>
            <w:vAlign w:val="bottom"/>
          </w:tcPr>
          <w:p>
            <w:pPr>
              <w:pStyle w:val="TableContents"/>
              <w:bidi w:val="0"/>
              <w:spacing w:before="0" w:after="0"/>
              <w:ind w:left="0" w:right="0" w:hanging="0"/>
              <w:jc w:val="left"/>
              <w:rPr/>
            </w:pPr>
            <w:r>
              <w:rPr/>
              <w:t>Canceled</w:t>
            </w:r>
          </w:p>
        </w:tc>
        <w:tc>
          <w:tcPr>
            <w:tcW w:w="110" w:type="dxa"/>
            <w:tcBorders/>
            <w:shd w:fill="CCEEFF" w:val="clear"/>
            <w:vAlign w:val="bottom"/>
          </w:tcPr>
          <w:p>
            <w:pPr>
              <w:pStyle w:val="TableContents"/>
              <w:bidi w:val="0"/>
              <w:spacing w:before="0" w:after="0"/>
              <w:ind w:left="0" w:right="0" w:hanging="0"/>
              <w:jc w:val="right"/>
              <w:rPr/>
            </w:pPr>
            <w:r>
              <w:rPr/>
              <w:t> </w:t>
            </w:r>
          </w:p>
        </w:tc>
        <w:tc>
          <w:tcPr>
            <w:tcW w:w="111" w:type="dxa"/>
            <w:tcBorders/>
            <w:shd w:fill="CCEEFF" w:val="clear"/>
            <w:vAlign w:val="bottom"/>
          </w:tcPr>
          <w:p>
            <w:pPr>
              <w:pStyle w:val="TableContents"/>
              <w:bidi w:val="0"/>
              <w:spacing w:before="0" w:after="0"/>
              <w:ind w:left="0" w:right="0" w:hanging="0"/>
              <w:jc w:val="left"/>
              <w:rPr/>
            </w:pPr>
            <w:r>
              <w:rPr/>
              <w:t> </w:t>
            </w:r>
          </w:p>
        </w:tc>
        <w:tc>
          <w:tcPr>
            <w:tcW w:w="1116"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229" w:type="dxa"/>
            <w:tcBorders/>
            <w:shd w:fill="CCEEFF" w:val="clear"/>
            <w:vAlign w:val="bottom"/>
          </w:tcPr>
          <w:p>
            <w:pPr>
              <w:pStyle w:val="TableContents"/>
              <w:bidi w:val="0"/>
              <w:spacing w:before="0" w:after="0"/>
              <w:ind w:left="0" w:right="0" w:hanging="0"/>
              <w:jc w:val="left"/>
              <w:rPr/>
            </w:pPr>
            <w:r>
              <w:rPr/>
              <w:t> </w:t>
            </w:r>
          </w:p>
        </w:tc>
        <w:tc>
          <w:tcPr>
            <w:tcW w:w="110" w:type="dxa"/>
            <w:tcBorders/>
            <w:shd w:fill="CCEEFF" w:val="clear"/>
            <w:vAlign w:val="bottom"/>
          </w:tcPr>
          <w:p>
            <w:pPr>
              <w:pStyle w:val="TableContents"/>
              <w:bidi w:val="0"/>
              <w:spacing w:before="0" w:after="0"/>
              <w:ind w:left="0" w:right="0" w:hanging="0"/>
              <w:jc w:val="right"/>
              <w:rPr/>
            </w:pPr>
            <w:r>
              <w:rPr/>
              <w:t> </w:t>
            </w:r>
          </w:p>
        </w:tc>
        <w:tc>
          <w:tcPr>
            <w:tcW w:w="210" w:type="dxa"/>
            <w:tcBorders/>
            <w:shd w:fill="CCEEFF" w:val="clear"/>
            <w:vAlign w:val="bottom"/>
          </w:tcPr>
          <w:p>
            <w:pPr>
              <w:pStyle w:val="TableContents"/>
              <w:bidi w:val="0"/>
              <w:spacing w:before="0" w:after="0"/>
              <w:ind w:left="0" w:right="0" w:hanging="0"/>
              <w:jc w:val="left"/>
              <w:rPr/>
            </w:pPr>
            <w:r>
              <w:rPr/>
              <w:t> </w:t>
            </w:r>
          </w:p>
        </w:tc>
        <w:tc>
          <w:tcPr>
            <w:tcW w:w="1412"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67" w:type="dxa"/>
            <w:tcBorders/>
            <w:shd w:fill="CCEEFF" w:val="clear"/>
            <w:vAlign w:val="bottom"/>
          </w:tcPr>
          <w:p>
            <w:pPr>
              <w:pStyle w:val="TableContents"/>
              <w:bidi w:val="0"/>
              <w:spacing w:before="0" w:after="0"/>
              <w:jc w:val="left"/>
              <w:rPr/>
            </w:pPr>
            <w:r>
              <w:rPr/>
              <w:t> </w:t>
            </w:r>
          </w:p>
        </w:tc>
      </w:tr>
      <w:tr>
        <w:trPr/>
        <w:tc>
          <w:tcPr>
            <w:tcW w:w="6740" w:type="dxa"/>
            <w:tcBorders/>
            <w:vAlign w:val="bottom"/>
          </w:tcPr>
          <w:p>
            <w:pPr>
              <w:pStyle w:val="TableContents"/>
              <w:bidi w:val="0"/>
              <w:spacing w:before="0" w:after="0"/>
              <w:ind w:left="0" w:right="0" w:hanging="0"/>
              <w:jc w:val="left"/>
              <w:rPr/>
            </w:pPr>
            <w:r>
              <w:rPr/>
              <w:t>Vested</w:t>
            </w:r>
          </w:p>
        </w:tc>
        <w:tc>
          <w:tcPr>
            <w:tcW w:w="110" w:type="dxa"/>
            <w:tcBorders/>
            <w:vAlign w:val="bottom"/>
          </w:tcPr>
          <w:p>
            <w:pPr>
              <w:pStyle w:val="TableContents"/>
              <w:bidi w:val="0"/>
              <w:spacing w:before="0" w:after="0"/>
              <w:ind w:left="0" w:right="0" w:hanging="0"/>
              <w:jc w:val="right"/>
              <w:rPr/>
            </w:pPr>
            <w:r>
              <w:rPr/>
              <w:t> </w:t>
            </w:r>
          </w:p>
        </w:tc>
        <w:tc>
          <w:tcPr>
            <w:tcW w:w="111"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116" w:type="dxa"/>
            <w:tcBorders>
              <w:bottom w:val="single" w:sz="12" w:space="0" w:color="000000"/>
            </w:tcBorders>
            <w:tcMar>
              <w:bottom w:w="28" w:type="dxa"/>
            </w:tcMar>
            <w:vAlign w:val="bottom"/>
          </w:tcPr>
          <w:p>
            <w:pPr>
              <w:pStyle w:val="TableContents"/>
              <w:bidi w:val="0"/>
              <w:spacing w:before="0" w:after="0"/>
              <w:ind w:left="0" w:right="0" w:hanging="0"/>
              <w:jc w:val="right"/>
              <w:rPr/>
            </w:pPr>
            <w:r>
              <w:rPr/>
              <w:t>(449,846</w:t>
            </w:r>
          </w:p>
        </w:tc>
        <w:tc>
          <w:tcPr>
            <w:tcW w:w="229"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10" w:type="dxa"/>
            <w:tcBorders/>
            <w:vAlign w:val="bottom"/>
          </w:tcPr>
          <w:p>
            <w:pPr>
              <w:pStyle w:val="TableContents"/>
              <w:bidi w:val="0"/>
              <w:spacing w:before="0" w:after="0"/>
              <w:ind w:left="0" w:right="0" w:hanging="0"/>
              <w:jc w:val="right"/>
              <w:rPr/>
            </w:pPr>
            <w:r>
              <w:rPr/>
              <w:t> </w:t>
            </w:r>
          </w:p>
        </w:tc>
        <w:tc>
          <w:tcPr>
            <w:tcW w:w="210" w:type="dxa"/>
            <w:tcBorders/>
            <w:vAlign w:val="bottom"/>
          </w:tcPr>
          <w:p>
            <w:pPr>
              <w:pStyle w:val="TableContents"/>
              <w:bidi w:val="0"/>
              <w:spacing w:before="0" w:after="0"/>
              <w:ind w:left="0" w:right="0" w:hanging="0"/>
              <w:jc w:val="left"/>
              <w:rPr/>
            </w:pPr>
            <w:r>
              <w:rPr/>
              <w:t> </w:t>
            </w:r>
          </w:p>
        </w:tc>
        <w:tc>
          <w:tcPr>
            <w:tcW w:w="1412" w:type="dxa"/>
            <w:tcBorders/>
            <w:vAlign w:val="bottom"/>
          </w:tcPr>
          <w:p>
            <w:pPr>
              <w:pStyle w:val="TableContents"/>
              <w:bidi w:val="0"/>
              <w:spacing w:before="0" w:after="0"/>
              <w:ind w:left="0" w:right="0" w:hanging="0"/>
              <w:jc w:val="right"/>
              <w:rPr/>
            </w:pPr>
            <w:r>
              <w:rPr/>
              <w:t>11.00</w:t>
            </w:r>
          </w:p>
        </w:tc>
        <w:tc>
          <w:tcPr>
            <w:tcW w:w="167" w:type="dxa"/>
            <w:tcBorders/>
            <w:vAlign w:val="bottom"/>
          </w:tcPr>
          <w:p>
            <w:pPr>
              <w:pStyle w:val="TableContents"/>
              <w:bidi w:val="0"/>
              <w:spacing w:before="0" w:after="0"/>
              <w:jc w:val="left"/>
              <w:rPr/>
            </w:pPr>
            <w:r>
              <w:rPr/>
              <w:t> </w:t>
            </w:r>
          </w:p>
        </w:tc>
      </w:tr>
      <w:tr>
        <w:trPr/>
        <w:tc>
          <w:tcPr>
            <w:tcW w:w="6740" w:type="dxa"/>
            <w:tcBorders/>
            <w:shd w:fill="CCEEFF" w:val="clear"/>
            <w:vAlign w:val="bottom"/>
          </w:tcPr>
          <w:p>
            <w:pPr>
              <w:pStyle w:val="TableContents"/>
              <w:bidi w:val="0"/>
              <w:spacing w:before="0" w:after="0"/>
              <w:ind w:left="0" w:right="0" w:hanging="0"/>
              <w:jc w:val="left"/>
              <w:rPr/>
            </w:pPr>
            <w:r>
              <w:rPr/>
              <w:t>Nonvested Restricted Stock outstanding at June 30, 2026</w:t>
            </w:r>
          </w:p>
        </w:tc>
        <w:tc>
          <w:tcPr>
            <w:tcW w:w="110" w:type="dxa"/>
            <w:tcBorders/>
            <w:shd w:fill="CCEEFF" w:val="clear"/>
            <w:vAlign w:val="bottom"/>
          </w:tcPr>
          <w:p>
            <w:pPr>
              <w:pStyle w:val="TableContents"/>
              <w:bidi w:val="0"/>
              <w:spacing w:before="0" w:after="0"/>
              <w:ind w:left="0" w:right="0" w:hanging="0"/>
              <w:jc w:val="right"/>
              <w:rPr/>
            </w:pPr>
            <w:r>
              <w:rPr/>
              <w:t> </w:t>
            </w:r>
          </w:p>
        </w:tc>
        <w:tc>
          <w:tcPr>
            <w:tcW w:w="111"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116"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613,476</w:t>
            </w:r>
          </w:p>
        </w:tc>
        <w:tc>
          <w:tcPr>
            <w:tcW w:w="229"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10" w:type="dxa"/>
            <w:tcBorders/>
            <w:shd w:fill="CCEEFF" w:val="clear"/>
            <w:vAlign w:val="bottom"/>
          </w:tcPr>
          <w:p>
            <w:pPr>
              <w:pStyle w:val="TableContents"/>
              <w:bidi w:val="0"/>
              <w:spacing w:before="0" w:after="0"/>
              <w:ind w:left="0" w:right="0" w:hanging="0"/>
              <w:jc w:val="right"/>
              <w:rPr/>
            </w:pPr>
            <w:r>
              <w:rPr/>
              <w:t> </w:t>
            </w:r>
          </w:p>
        </w:tc>
        <w:tc>
          <w:tcPr>
            <w:tcW w:w="210" w:type="dxa"/>
            <w:tcBorders/>
            <w:shd w:fill="CCEEFF" w:val="clear"/>
            <w:vAlign w:val="bottom"/>
          </w:tcPr>
          <w:p>
            <w:pPr>
              <w:pStyle w:val="TableContents"/>
              <w:bidi w:val="0"/>
              <w:spacing w:before="0" w:after="0"/>
              <w:ind w:left="0" w:right="0" w:hanging="0"/>
              <w:jc w:val="left"/>
              <w:rPr/>
            </w:pPr>
            <w:r>
              <w:rPr/>
              <w:t>$</w:t>
            </w:r>
          </w:p>
        </w:tc>
        <w:tc>
          <w:tcPr>
            <w:tcW w:w="1412" w:type="dxa"/>
            <w:tcBorders/>
            <w:shd w:fill="CCEEFF" w:val="clear"/>
            <w:vAlign w:val="bottom"/>
          </w:tcPr>
          <w:p>
            <w:pPr>
              <w:pStyle w:val="TableContents"/>
              <w:bidi w:val="0"/>
              <w:spacing w:before="0" w:after="0"/>
              <w:ind w:left="0" w:right="0" w:hanging="0"/>
              <w:jc w:val="right"/>
              <w:rPr/>
            </w:pPr>
            <w:r>
              <w:rPr/>
              <w:t>22.35</w:t>
            </w:r>
          </w:p>
        </w:tc>
        <w:tc>
          <w:tcPr>
            <w:tcW w:w="167"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Share Repurchase Program</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On May 24, 2022, the Company announced that its Board of Directors had authorized a share repurchase program of up to $30.0 million of the Company’s outstanding Common Stock. The repurchase program was authorized for 12 months. Pursuant to the program, purchases may be made, from time to time, in open-market transactions at prevailing market prices, in privately negotiated transactions or by other means as determined by the Company’s management and in accordance with applicable federal securities laws. The timing of purchases and the number of shares repurchased under the program will depend on a variety of factors including price, trading volume, corporate and regulatory requirements and market conditions. The Company retains the right to limit, terminate or extend the share repurchase program at any time without prior notice.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subsequently authorized the repurchase of an additional $10.0 million of the Company’s Common Stock, for an aggregate of up to $30.6 million in additional repurchases, and has extended the share repurchase program for additional 12-month periods, most recently through May 24, 2027.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During the six months ended June 30, 2026 and 2025, the Company did not repurchase any shares under the share repurchase program. As of June 30, 2026, the Company had approximately $29.7 million remaining for additional repurchases under the program. Since the inception of the program, the Company has made repurchases of approximately 1.7 million shares of the Company’s Common Stock, at an average share price of $5.95 for an aggregate expenditure of approximately $10.3 million.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rPr>
        <w:t>COMMITMENTS AND CONTINGENCIES</w:t>
      </w:r>
      <w:r>
        <w:rPr>
          <w:rFonts w:ascii="Times New Roman" w:hAnsi="Times New Roman"/>
          <w:sz w:val="20"/>
        </w:rPr>
        <w:t xml:space="preserve">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3429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9.</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9.</w:t>
                      </w:r>
                      <w:r>
                        <w:rPr/>
                        <w:t xml:space="preserve"> </w:t>
                      </w:r>
                    </w:p>
                  </w:txbxContent>
                </v:textbox>
                <w10:wrap type="square" side="right"/>
              </v:rect>
            </w:pict>
          </mc:Fallback>
        </mc:AlternateContent>
      </w:r>
    </w:p>
    <w:p>
      <w:pPr>
        <w:pStyle w:val="TextBody"/>
        <w:bidi w:val="0"/>
        <w:spacing w:before="0" w:after="0"/>
        <w:ind w:left="540"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Legal Proceedings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There are no material developments relating to previously disclosed legal proceedings. See the “Legal Proceedings” section of the Company’s Form 10-K and previously filed Form 10-Qs for information regarding existing legal proceedings. Additionally, see the “Regulatory Updates” section of this Form 10-Q for additional information concerning the status of Borrower Defense to Repayment applications.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 the ordinary conduct of our business, we are subject to additional periodic lawsuits, investigations, regulatory proceedings and other claims, including, but not limited to, claims involving students or graduates, routine employment matters and business disputes. We cannot predict the ultimate resolution of these lawsuits, investigations, regulatory proceedings and other claims asserted against us, but we do not believe that any of these matters will have a material adverse effect on our business, financial condition, results of operations, or cash flows.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Student Financing Plans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Company had outstanding net financing commitments to its students to assist them in financing their education of approximately $62.1 million, net of interest.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rPr>
        <w:t>SEGMENT REPORTING</w:t>
      </w:r>
      <w:r>
        <w:rPr>
          <w:rFonts w:ascii="Times New Roman" w:hAnsi="Times New Roman"/>
          <w:sz w:val="20"/>
        </w:rPr>
        <w:t xml:space="preserve">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429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10.</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10.</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Company manages its business, evaluates performance and allocates resources based on two reportable business segments, Campus Operations and Transitional.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 xml:space="preserve">Campus Operations— </w:t>
      </w:r>
      <w:r>
        <w:rPr>
          <w:rFonts w:ascii="Times New Roman" w:hAnsi="Times New Roman"/>
          <w:sz w:val="20"/>
        </w:rPr>
        <w:t xml:space="preserve">The Campus Operations segment includes campuses that are continuing in operation and contribute to the Company’s core operations and performance. All of the campuses continuing in operation are classified in this segment. All of our campuses offer programs across various areas of study.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i/>
          <w:sz w:val="20"/>
        </w:rPr>
        <w:t>Transitional—</w:t>
      </w:r>
      <w:r>
        <w:rPr>
          <w:rFonts w:ascii="Times New Roman" w:hAnsi="Times New Roman"/>
          <w:sz w:val="20"/>
        </w:rPr>
        <w:t xml:space="preserve"> The Transitional segment refers to campuses that are marked for closure and are currently being taught out, in addition to campuses that are held-for-sale. As of June 30, 2026, none of our campuses were classified in the Transitional segment.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individual operating segments have been aggregated into the two main reportable segments based on the method by which our Chief Operating Decision Maker (“CODM”) 1) evaluates performance and allocates resources and 2) as a result of the Company’s judgment, that the reporting units have similar products, production processes, types of customers, methods of distribution, regulatory environment, and economic characteristics. The Company’s CODM is comprised of a team of executives deemed the “Executive Committee,” which is made up of the following individuals: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1. Scott M. Shaw – Chief Executive Officer and Director </w:t>
      </w:r>
    </w:p>
    <w:p>
      <w:pPr>
        <w:pStyle w:val="TextBody"/>
        <w:bidi w:val="0"/>
        <w:spacing w:before="0" w:after="0"/>
        <w:jc w:val="left"/>
        <w:rPr>
          <w:rFonts w:ascii="Times New Roman" w:hAnsi="Times New Roman"/>
          <w:sz w:val="20"/>
        </w:rPr>
      </w:pPr>
      <w:r>
        <w:rPr>
          <w:rFonts w:ascii="Times New Roman" w:hAnsi="Times New Roman"/>
          <w:sz w:val="20"/>
        </w:rPr>
        <w:t xml:space="preserve">2. Brian K. Meyers – Executive Vice President, Chief Financial Officer, and Treasurer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CODM assesses segment financial performance by reviewing segment revenue and segment operating income, which includes certain corporate overhead allocations relating directly to the segments disclosed. Some of the allocated costs include the centralization of the Company’s financial aid process, national sales and receivables, and default costs. The CODM makes decisions to allocate resources based on the review of monthly, quarterly, and annual financial information categorized by segment. The financial information is presented to the CODM using actual-to-actual results and budget-to-actual results.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We evaluate performance based on operating results. Adjustments to reconcile segment results with consolidated results are included in the caption “Corporate,” which primarily includes unallocated corporate activity.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Summary financial information by reporting segment is as follows: </w:t>
      </w:r>
    </w:p>
    <w:p>
      <w:pPr>
        <w:pStyle w:val="TextBody"/>
        <w:bidi w:val="0"/>
        <w:spacing w:before="0" w:after="0"/>
        <w:jc w:val="left"/>
        <w:rPr/>
      </w:pPr>
      <w:r>
        <w:rPr/>
        <w:t xml:space="preserve">  </w:t>
      </w:r>
    </w:p>
    <w:tbl>
      <w:tblPr>
        <w:tblW w:w="5000" w:type="pct"/>
        <w:jc w:val="left"/>
        <w:tblInd w:w="0" w:type="dxa"/>
        <w:tblLayout w:type="fixed"/>
        <w:tblCellMar>
          <w:top w:w="0" w:type="dxa"/>
          <w:left w:w="0" w:type="dxa"/>
          <w:bottom w:w="0" w:type="dxa"/>
          <w:right w:w="0" w:type="dxa"/>
        </w:tblCellMar>
      </w:tblPr>
      <w:tblGrid>
        <w:gridCol w:w="2599"/>
        <w:gridCol w:w="90"/>
        <w:gridCol w:w="170"/>
        <w:gridCol w:w="830"/>
        <w:gridCol w:w="185"/>
        <w:gridCol w:w="90"/>
        <w:gridCol w:w="170"/>
        <w:gridCol w:w="830"/>
        <w:gridCol w:w="185"/>
        <w:gridCol w:w="90"/>
        <w:gridCol w:w="170"/>
        <w:gridCol w:w="830"/>
        <w:gridCol w:w="185"/>
        <w:gridCol w:w="89"/>
        <w:gridCol w:w="170"/>
        <w:gridCol w:w="830"/>
        <w:gridCol w:w="185"/>
        <w:gridCol w:w="90"/>
        <w:gridCol w:w="170"/>
        <w:gridCol w:w="785"/>
        <w:gridCol w:w="185"/>
        <w:gridCol w:w="90"/>
        <w:gridCol w:w="170"/>
        <w:gridCol w:w="785"/>
        <w:gridCol w:w="232"/>
      </w:tblGrid>
      <w:tr>
        <w:trPr/>
        <w:tc>
          <w:tcPr>
            <w:tcW w:w="25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0"/>
              <w:ind w:left="0" w:right="0" w:hanging="0"/>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7114" w:type="dxa"/>
            <w:gridSpan w:val="21"/>
            <w:tcBorders>
              <w:bottom w:val="single" w:sz="12" w:space="0" w:color="000000"/>
            </w:tcBorders>
            <w:tcMar>
              <w:bottom w:w="28" w:type="dxa"/>
            </w:tcMar>
            <w:vAlign w:val="bottom"/>
          </w:tcPr>
          <w:p>
            <w:pPr>
              <w:pStyle w:val="TableContents"/>
              <w:bidi w:val="0"/>
              <w:spacing w:before="0" w:after="283"/>
              <w:jc w:val="center"/>
              <w:rPr/>
            </w:pPr>
            <w:r>
              <w:rPr>
                <w:b/>
                <w:spacing w:val="0"/>
                <w:sz w:val="20"/>
              </w:rPr>
              <w:t>Three Months Ended June 30,</w:t>
            </w:r>
            <w:r>
              <w:rPr/>
              <w:t xml:space="preserve"> </w:t>
            </w:r>
          </w:p>
        </w:tc>
        <w:tc>
          <w:tcPr>
            <w:tcW w:w="232" w:type="dxa"/>
            <w:tcBorders/>
            <w:vAlign w:val="bottom"/>
          </w:tcPr>
          <w:p>
            <w:pPr>
              <w:pStyle w:val="TableContents"/>
              <w:bidi w:val="0"/>
              <w:spacing w:before="0" w:after="283"/>
              <w:jc w:val="center"/>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0"/>
              <w:ind w:left="0" w:right="0" w:hanging="0"/>
              <w:jc w:val="left"/>
              <w:rPr/>
            </w:pPr>
            <w:r>
              <w:rPr/>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2105" w:type="dxa"/>
            <w:gridSpan w:val="5"/>
            <w:tcBorders>
              <w:bottom w:val="single" w:sz="12" w:space="0" w:color="000000"/>
            </w:tcBorders>
            <w:tcMar>
              <w:bottom w:w="28" w:type="dxa"/>
            </w:tcMar>
            <w:vAlign w:val="bottom"/>
          </w:tcPr>
          <w:p>
            <w:pPr>
              <w:pStyle w:val="TableContents"/>
              <w:bidi w:val="0"/>
              <w:spacing w:before="0" w:after="283"/>
              <w:jc w:val="center"/>
              <w:rPr/>
            </w:pPr>
            <w:r>
              <w:rPr>
                <w:b/>
                <w:spacing w:val="0"/>
                <w:sz w:val="20"/>
              </w:rPr>
              <w:t>Consolidated</w:t>
            </w:r>
            <w:r>
              <w:rPr/>
              <w:t xml:space="preserve"> </w:t>
            </w:r>
          </w:p>
        </w:tc>
        <w:tc>
          <w:tcPr>
            <w:tcW w:w="18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90" w:type="dxa"/>
            <w:tcBorders>
              <w:bottom w:val="single" w:sz="12" w:space="0" w:color="000000"/>
            </w:tcBorders>
            <w:tcMar>
              <w:bottom w:w="28" w:type="dxa"/>
            </w:tcMar>
            <w:vAlign w:val="bottom"/>
          </w:tcPr>
          <w:p>
            <w:pPr>
              <w:pStyle w:val="TableContents"/>
              <w:bidi w:val="0"/>
              <w:spacing w:before="0" w:after="0"/>
              <w:ind w:left="0" w:right="0" w:hanging="0"/>
              <w:jc w:val="left"/>
              <w:rPr/>
            </w:pPr>
            <w:r>
              <w:rPr/>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2104" w:type="dxa"/>
            <w:gridSpan w:val="5"/>
            <w:tcBorders>
              <w:bottom w:val="single" w:sz="12" w:space="0" w:color="000000"/>
            </w:tcBorders>
            <w:tcMar>
              <w:bottom w:w="28" w:type="dxa"/>
            </w:tcMar>
            <w:vAlign w:val="bottom"/>
          </w:tcPr>
          <w:p>
            <w:pPr>
              <w:pStyle w:val="TableContents"/>
              <w:bidi w:val="0"/>
              <w:spacing w:before="0" w:after="283"/>
              <w:jc w:val="center"/>
              <w:rPr/>
            </w:pPr>
            <w:r>
              <w:rPr>
                <w:spacing w:val="0"/>
              </w:rPr>
              <w:t> </w:t>
            </w:r>
            <w:r>
              <w:rPr>
                <w:b/>
                <w:spacing w:val="0"/>
                <w:sz w:val="20"/>
              </w:rPr>
              <w:t>Campus Operations</w:t>
            </w:r>
            <w:r>
              <w:rPr/>
              <w:t xml:space="preserve"> </w:t>
            </w:r>
          </w:p>
        </w:tc>
        <w:tc>
          <w:tcPr>
            <w:tcW w:w="18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15" w:type="dxa"/>
            <w:gridSpan w:val="5"/>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Corporate</w:t>
            </w:r>
          </w:p>
        </w:tc>
        <w:tc>
          <w:tcPr>
            <w:tcW w:w="232" w:type="dxa"/>
            <w:tcBorders/>
            <w:vAlign w:val="bottom"/>
          </w:tcPr>
          <w:p>
            <w:pPr>
              <w:pStyle w:val="TableContents"/>
              <w:bidi w:val="0"/>
              <w:spacing w:before="0" w:after="283"/>
              <w:jc w:val="center"/>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2025</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2026</w:t>
            </w:r>
          </w:p>
        </w:tc>
        <w:tc>
          <w:tcPr>
            <w:tcW w:w="185" w:type="dxa"/>
            <w:tcBorders/>
            <w:vAlign w:val="center"/>
          </w:tcPr>
          <w:p>
            <w:pPr>
              <w:pStyle w:val="TableContents"/>
              <w:bidi w:val="0"/>
              <w:spacing w:before="0" w:after="283"/>
              <w:jc w:val="center"/>
              <w:rPr/>
            </w:pPr>
            <w:r>
              <w:rPr/>
              <w:t> </w:t>
            </w:r>
          </w:p>
        </w:tc>
        <w:tc>
          <w:tcPr>
            <w:tcW w:w="89"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2025</w:t>
            </w:r>
          </w:p>
        </w:tc>
        <w:tc>
          <w:tcPr>
            <w:tcW w:w="185" w:type="dxa"/>
            <w:tcBorders/>
            <w:vAlign w:val="center"/>
          </w:tcPr>
          <w:p>
            <w:pPr>
              <w:pStyle w:val="TableContents"/>
              <w:bidi w:val="0"/>
              <w:spacing w:before="0" w:after="283"/>
              <w:jc w:val="center"/>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2025</w:t>
            </w:r>
          </w:p>
        </w:tc>
        <w:tc>
          <w:tcPr>
            <w:tcW w:w="232" w:type="dxa"/>
            <w:tcBorders/>
            <w:vAlign w:val="center"/>
          </w:tcPr>
          <w:p>
            <w:pPr>
              <w:pStyle w:val="TableContents"/>
              <w:bidi w:val="0"/>
              <w:spacing w:before="0" w:after="283"/>
              <w:jc w:val="center"/>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REVENUE</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142,560</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116,474</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142,560</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116,474</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r>
              <w:rPr/>
              <w:t xml:space="preserve">- </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232"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COSTS AND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Instructional</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28,153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23,544</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28,153</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23,544</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Books and tools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10,380</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6,769</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10,380</w:t>
            </w:r>
          </w:p>
        </w:tc>
        <w:tc>
          <w:tcPr>
            <w:tcW w:w="185"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6,769</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r>
              <w:rPr/>
              <w:t xml:space="preserve">- </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p>
        </w:tc>
        <w:tc>
          <w:tcPr>
            <w:tcW w:w="232" w:type="dxa"/>
            <w:tcBorders/>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Facilities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13,444</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11,933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13,444</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11,933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Depreciation and amortization</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7,655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4,545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7,655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4,545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 xml:space="preserve">  </w:t>
            </w:r>
            <w:r>
              <w:rPr/>
              <w:t xml:space="preserve">- </w:t>
            </w:r>
          </w:p>
        </w:tc>
        <w:tc>
          <w:tcPr>
            <w:tcW w:w="185" w:type="dxa"/>
            <w:tcBorders/>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 xml:space="preserve">- </w:t>
            </w:r>
          </w:p>
        </w:tc>
        <w:tc>
          <w:tcPr>
            <w:tcW w:w="232"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0"/>
              <w:jc w:val="left"/>
              <w:rPr/>
            </w:pPr>
            <w:r>
              <w:rPr/>
              <w:t>Educational services and facilities</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59,632</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46,791</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59,632</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46,791</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r>
              <w:rPr/>
              <w:t xml:space="preserve">- </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232"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Sales and marketing</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24,745</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18,872</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24,745</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18,872</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Student services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7,903</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6,363</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7,903</w:t>
            </w:r>
          </w:p>
        </w:tc>
        <w:tc>
          <w:tcPr>
            <w:tcW w:w="185"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6,363</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r>
              <w:rPr/>
              <w:t xml:space="preserve">- </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p>
        </w:tc>
        <w:tc>
          <w:tcPr>
            <w:tcW w:w="232" w:type="dxa"/>
            <w:tcBorders/>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Provision for credit losses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16,035</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13,177</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16,035</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13,177</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Administrative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30,832</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28,484</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12,707</w:t>
            </w:r>
          </w:p>
        </w:tc>
        <w:tc>
          <w:tcPr>
            <w:tcW w:w="185"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12,218</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18,125</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16,266</w:t>
            </w:r>
          </w:p>
        </w:tc>
        <w:tc>
          <w:tcPr>
            <w:tcW w:w="232" w:type="dxa"/>
            <w:tcBorders/>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283"/>
              <w:jc w:val="left"/>
              <w:rPr>
                <w:sz w:val="20"/>
              </w:rPr>
            </w:pPr>
            <w:r>
              <w:rPr>
                <w:sz w:val="20"/>
              </w:rPr>
              <w:t>Depreciation and amortization</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sz w:val="20"/>
              </w:rPr>
            </w:pPr>
            <w:r>
              <w:rPr>
                <w:sz w:val="20"/>
              </w:rPr>
              <w:t>134</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sz w:val="20"/>
              </w:rPr>
            </w:pPr>
            <w:r>
              <w:rPr>
                <w:sz w:val="20"/>
              </w:rPr>
              <w:t>165</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sz w:val="20"/>
              </w:rPr>
            </w:pPr>
            <w:r>
              <w:rPr>
                <w:sz w:val="20"/>
              </w:rPr>
              <w:t>-</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sz w:val="20"/>
              </w:rPr>
            </w:pPr>
            <w:r>
              <w:rPr>
                <w:sz w:val="20"/>
              </w:rPr>
              <w:t>-</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sz w:val="20"/>
              </w:rPr>
            </w:pPr>
            <w:r>
              <w:rPr>
                <w:sz w:val="20"/>
              </w:rPr>
              <w:t>134</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sz w:val="20"/>
              </w:rPr>
            </w:pPr>
            <w:r>
              <w:rPr>
                <w:sz w:val="20"/>
              </w:rPr>
              <w:t>165</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0"/>
              <w:jc w:val="left"/>
              <w:rPr/>
            </w:pPr>
            <w:r>
              <w:rPr/>
              <w:t>Selling, general and administrative</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79,649</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67,061</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61,390</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50,630</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18,259</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16,431</w:t>
            </w:r>
          </w:p>
        </w:tc>
        <w:tc>
          <w:tcPr>
            <w:tcW w:w="232"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0"/>
              <w:jc w:val="left"/>
              <w:rPr/>
            </w:pPr>
            <w:r>
              <w:rPr/>
              <w:t>Gain on sale of assets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(256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(10</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(256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0"/>
              <w:jc w:val="left"/>
              <w:rPr/>
            </w:pPr>
            <w:r>
              <w:rPr/>
              <w:t>Total costs and expenses</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139,248</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113,596</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121,012</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97,165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18,236</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16,431</w:t>
            </w:r>
          </w:p>
        </w:tc>
        <w:tc>
          <w:tcPr>
            <w:tcW w:w="232"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OPERATING INCOME (LOSS)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3,312</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2,878</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21,548</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19,309</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785"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(18,236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785"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(16,431</w:t>
            </w:r>
          </w:p>
        </w:tc>
        <w:tc>
          <w:tcPr>
            <w:tcW w:w="232" w:type="dxa"/>
            <w:tcBorders/>
            <w:shd w:fill="CCEEFF" w:val="clear"/>
            <w:vAlign w:val="bottom"/>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tbl>
      <w:tblPr>
        <w:tblW w:w="5000" w:type="pct"/>
        <w:jc w:val="left"/>
        <w:tblInd w:w="0" w:type="dxa"/>
        <w:tblLayout w:type="fixed"/>
        <w:tblCellMar>
          <w:top w:w="0" w:type="dxa"/>
          <w:left w:w="0" w:type="dxa"/>
          <w:bottom w:w="0" w:type="dxa"/>
          <w:right w:w="0" w:type="dxa"/>
        </w:tblCellMar>
      </w:tblPr>
      <w:tblGrid>
        <w:gridCol w:w="2599"/>
        <w:gridCol w:w="90"/>
        <w:gridCol w:w="170"/>
        <w:gridCol w:w="830"/>
        <w:gridCol w:w="185"/>
        <w:gridCol w:w="90"/>
        <w:gridCol w:w="170"/>
        <w:gridCol w:w="830"/>
        <w:gridCol w:w="185"/>
        <w:gridCol w:w="90"/>
        <w:gridCol w:w="170"/>
        <w:gridCol w:w="830"/>
        <w:gridCol w:w="185"/>
        <w:gridCol w:w="89"/>
        <w:gridCol w:w="170"/>
        <w:gridCol w:w="830"/>
        <w:gridCol w:w="185"/>
        <w:gridCol w:w="90"/>
        <w:gridCol w:w="170"/>
        <w:gridCol w:w="785"/>
        <w:gridCol w:w="185"/>
        <w:gridCol w:w="90"/>
        <w:gridCol w:w="170"/>
        <w:gridCol w:w="785"/>
        <w:gridCol w:w="232"/>
      </w:tblGrid>
      <w:tr>
        <w:trPr/>
        <w:tc>
          <w:tcPr>
            <w:tcW w:w="25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0"/>
              <w:ind w:left="0" w:right="0" w:hanging="0"/>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7114" w:type="dxa"/>
            <w:gridSpan w:val="21"/>
            <w:tcBorders>
              <w:bottom w:val="single" w:sz="12" w:space="0" w:color="000000"/>
            </w:tcBorders>
            <w:tcMar>
              <w:bottom w:w="28" w:type="dxa"/>
            </w:tcMar>
            <w:vAlign w:val="bottom"/>
          </w:tcPr>
          <w:p>
            <w:pPr>
              <w:pStyle w:val="TableContents"/>
              <w:bidi w:val="0"/>
              <w:spacing w:before="0" w:after="283"/>
              <w:jc w:val="center"/>
              <w:rPr/>
            </w:pPr>
            <w:r>
              <w:rPr>
                <w:b/>
                <w:spacing w:val="0"/>
                <w:sz w:val="20"/>
              </w:rPr>
              <w:t>Six Months Ended June 30,</w:t>
            </w:r>
            <w:r>
              <w:rPr/>
              <w:t xml:space="preserve"> </w:t>
            </w:r>
          </w:p>
        </w:tc>
        <w:tc>
          <w:tcPr>
            <w:tcW w:w="232" w:type="dxa"/>
            <w:tcBorders/>
            <w:vAlign w:val="bottom"/>
          </w:tcPr>
          <w:p>
            <w:pPr>
              <w:pStyle w:val="TableContents"/>
              <w:bidi w:val="0"/>
              <w:spacing w:before="0" w:after="283"/>
              <w:jc w:val="center"/>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0"/>
              <w:ind w:left="0" w:right="0" w:hanging="0"/>
              <w:jc w:val="left"/>
              <w:rPr/>
            </w:pPr>
            <w:r>
              <w:rPr/>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2105" w:type="dxa"/>
            <w:gridSpan w:val="5"/>
            <w:tcBorders>
              <w:bottom w:val="single" w:sz="12" w:space="0" w:color="000000"/>
            </w:tcBorders>
            <w:tcMar>
              <w:bottom w:w="28" w:type="dxa"/>
            </w:tcMar>
            <w:vAlign w:val="bottom"/>
          </w:tcPr>
          <w:p>
            <w:pPr>
              <w:pStyle w:val="TableContents"/>
              <w:bidi w:val="0"/>
              <w:spacing w:before="0" w:after="283"/>
              <w:jc w:val="center"/>
              <w:rPr/>
            </w:pPr>
            <w:r>
              <w:rPr>
                <w:b/>
                <w:spacing w:val="0"/>
                <w:sz w:val="20"/>
              </w:rPr>
              <w:t>Consolidated</w:t>
            </w:r>
            <w:r>
              <w:rPr/>
              <w:t xml:space="preserve"> </w:t>
            </w:r>
          </w:p>
        </w:tc>
        <w:tc>
          <w:tcPr>
            <w:tcW w:w="18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2549" w:type="dxa"/>
            <w:gridSpan w:val="8"/>
            <w:tcBorders>
              <w:bottom w:val="single" w:sz="12" w:space="0" w:color="000000"/>
            </w:tcBorders>
            <w:tcMar>
              <w:bottom w:w="28" w:type="dxa"/>
            </w:tcMar>
            <w:vAlign w:val="bottom"/>
          </w:tcPr>
          <w:p>
            <w:pPr>
              <w:pStyle w:val="TableContents"/>
              <w:bidi w:val="0"/>
              <w:spacing w:before="0" w:after="0"/>
              <w:ind w:left="0" w:right="0" w:hanging="0"/>
              <w:jc w:val="center"/>
              <w:rPr/>
            </w:pPr>
            <w:r>
              <w:rPr/>
              <w:t> </w:t>
            </w:r>
            <w:r>
              <w:rPr>
                <w:b/>
              </w:rPr>
              <w:t xml:space="preserve">Campus Operations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15" w:type="dxa"/>
            <w:gridSpan w:val="5"/>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Corporate</w:t>
            </w:r>
          </w:p>
        </w:tc>
        <w:tc>
          <w:tcPr>
            <w:tcW w:w="232" w:type="dxa"/>
            <w:tcBorders/>
            <w:vAlign w:val="bottom"/>
          </w:tcPr>
          <w:p>
            <w:pPr>
              <w:pStyle w:val="TableContents"/>
              <w:bidi w:val="0"/>
              <w:spacing w:before="0" w:after="283"/>
              <w:jc w:val="center"/>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2025</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2026</w:t>
            </w:r>
          </w:p>
        </w:tc>
        <w:tc>
          <w:tcPr>
            <w:tcW w:w="185" w:type="dxa"/>
            <w:tcBorders/>
            <w:vAlign w:val="center"/>
          </w:tcPr>
          <w:p>
            <w:pPr>
              <w:pStyle w:val="TableContents"/>
              <w:bidi w:val="0"/>
              <w:spacing w:before="0" w:after="283"/>
              <w:jc w:val="center"/>
              <w:rPr/>
            </w:pPr>
            <w:r>
              <w:rPr/>
              <w:t> </w:t>
            </w:r>
          </w:p>
        </w:tc>
        <w:tc>
          <w:tcPr>
            <w:tcW w:w="89"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2025</w:t>
            </w:r>
          </w:p>
        </w:tc>
        <w:tc>
          <w:tcPr>
            <w:tcW w:w="185" w:type="dxa"/>
            <w:tcBorders/>
            <w:vAlign w:val="center"/>
          </w:tcPr>
          <w:p>
            <w:pPr>
              <w:pStyle w:val="TableContents"/>
              <w:bidi w:val="0"/>
              <w:spacing w:before="0" w:after="283"/>
              <w:jc w:val="center"/>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2025</w:t>
            </w:r>
          </w:p>
        </w:tc>
        <w:tc>
          <w:tcPr>
            <w:tcW w:w="232" w:type="dxa"/>
            <w:tcBorders/>
            <w:vAlign w:val="center"/>
          </w:tcPr>
          <w:p>
            <w:pPr>
              <w:pStyle w:val="TableContents"/>
              <w:bidi w:val="0"/>
              <w:spacing w:before="0" w:after="283"/>
              <w:jc w:val="center"/>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REVENUE</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286,518</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233,980</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286,518</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233,980</w:t>
            </w:r>
          </w:p>
        </w:tc>
        <w:tc>
          <w:tcPr>
            <w:tcW w:w="185"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232"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COSTS AND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Instructional</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55,776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46,559</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55,776</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46,559</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Books and tools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20,211</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14,477</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20,211</w:t>
            </w:r>
          </w:p>
        </w:tc>
        <w:tc>
          <w:tcPr>
            <w:tcW w:w="185"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14,477</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r>
              <w:rPr/>
              <w:t xml:space="preserve">- </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p>
        </w:tc>
        <w:tc>
          <w:tcPr>
            <w:tcW w:w="232" w:type="dxa"/>
            <w:tcBorders/>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Facilities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26,883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25,018</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26,883</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25,018</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Depreciation and amortization</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15,155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8,145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15,155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8,145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 xml:space="preserve">  </w:t>
            </w:r>
            <w:r>
              <w:rPr/>
              <w:t xml:space="preserve">- </w:t>
            </w:r>
          </w:p>
        </w:tc>
        <w:tc>
          <w:tcPr>
            <w:tcW w:w="185" w:type="dxa"/>
            <w:tcBorders/>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 xml:space="preserve">- </w:t>
            </w:r>
          </w:p>
        </w:tc>
        <w:tc>
          <w:tcPr>
            <w:tcW w:w="232"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0"/>
              <w:jc w:val="left"/>
              <w:rPr/>
            </w:pPr>
            <w:r>
              <w:rPr/>
              <w:t>Educational services and facilities</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118,025</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94,199</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118,025</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94,199</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r>
              <w:rPr/>
              <w:t xml:space="preserve">- </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232"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Sales and marketing</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48,642</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38,573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48,642</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38,573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Student services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15,259</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12,601</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15,259</w:t>
            </w:r>
          </w:p>
        </w:tc>
        <w:tc>
          <w:tcPr>
            <w:tcW w:w="185"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12,601</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r>
              <w:rPr/>
              <w:t xml:space="preserve">- </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p>
        </w:tc>
        <w:tc>
          <w:tcPr>
            <w:tcW w:w="232" w:type="dxa"/>
            <w:tcBorders/>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Provision for credit losses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29,717</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25,012</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29,717</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24,975</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37</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Administrative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64,917</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57,452</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25,582</w:t>
            </w:r>
          </w:p>
        </w:tc>
        <w:tc>
          <w:tcPr>
            <w:tcW w:w="185"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23,160</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39,335</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34,292</w:t>
            </w:r>
          </w:p>
        </w:tc>
        <w:tc>
          <w:tcPr>
            <w:tcW w:w="232" w:type="dxa"/>
            <w:tcBorders/>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Depreciation and amortization</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266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327</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266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327</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0"/>
              <w:jc w:val="left"/>
              <w:rPr/>
            </w:pPr>
            <w:r>
              <w:rPr/>
              <w:t>Selling, general and administrative</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158,801</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133,965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119,200</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99,309</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39,601</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34,656</w:t>
            </w:r>
          </w:p>
        </w:tc>
        <w:tc>
          <w:tcPr>
            <w:tcW w:w="232"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0"/>
              <w:jc w:val="left"/>
              <w:rPr/>
            </w:pPr>
            <w:r>
              <w:rPr/>
              <w:t>(Gain) loss on sale of assets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(27</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(476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(4</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(510</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34</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0"/>
              <w:jc w:val="left"/>
              <w:rPr/>
            </w:pPr>
            <w:r>
              <w:rPr/>
              <w:t>Total costs and expenses</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276,799</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227,688</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237,221</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192,998</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39,578</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34,690</w:t>
            </w:r>
          </w:p>
        </w:tc>
        <w:tc>
          <w:tcPr>
            <w:tcW w:w="232"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OPERATING INCOME (LOSS)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9,719</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6,292</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49,297</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40,982</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785"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(39,578</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785"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(34,690</w:t>
            </w:r>
          </w:p>
        </w:tc>
        <w:tc>
          <w:tcPr>
            <w:tcW w:w="232" w:type="dxa"/>
            <w:tcBorders/>
            <w:shd w:fill="CCEEFF" w:val="clear"/>
            <w:vAlign w:val="bottom"/>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hanging="540"/>
        <w:jc w:val="left"/>
        <w:rPr>
          <w:rFonts w:ascii="Times New Roman" w:hAnsi="Times New Roman"/>
          <w:sz w:val="20"/>
        </w:rPr>
      </w:pPr>
      <w:r>
        <w:rPr>
          <w:rFonts w:ascii="Times New Roman" w:hAnsi="Times New Roman"/>
          <w:b/>
          <w:sz w:val="20"/>
        </w:rPr>
        <w:t>FAIR VALUE</w:t>
      </w:r>
      <w:r>
        <w:rPr>
          <w:rFonts w:ascii="Times New Roman" w:hAnsi="Times New Roman"/>
          <w:sz w:val="20"/>
        </w:rPr>
        <w:t xml:space="preserve">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3429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11.</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11.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rPr>
        <w:t>Level 1:</w:t>
      </w:r>
      <w:r>
        <w:rPr>
          <w:rFonts w:ascii="Times New Roman" w:hAnsi="Times New Roman"/>
          <w:sz w:val="20"/>
        </w:rPr>
        <w:t xml:space="preserve">  Defined as quoted market prices in active markets for identical assets or liabilities.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rPr>
        <w:t>Level 2:</w:t>
      </w:r>
      <w:r>
        <w:rPr>
          <w:rFonts w:ascii="Times New Roman" w:hAnsi="Times New Roman"/>
          <w:sz w:val="20"/>
        </w:rPr>
        <w:t xml:space="preserve">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rPr>
        <w:t>Level 3:</w:t>
      </w:r>
      <w:r>
        <w:rPr>
          <w:rFonts w:ascii="Times New Roman" w:hAnsi="Times New Roman"/>
          <w:sz w:val="20"/>
        </w:rPr>
        <w:t xml:space="preserve">  Defined as unobservable inputs that are not corroborated by market data. </w:t>
      </w:r>
    </w:p>
    <w:p>
      <w:pPr>
        <w:pStyle w:val="TextBody"/>
        <w:bidi w:val="0"/>
        <w:spacing w:before="0" w:after="0"/>
        <w:jc w:val="left"/>
        <w:rPr/>
      </w:pPr>
      <w:r>
        <w:rPr/>
        <w:t xml:space="preserve">  </w:t>
      </w:r>
    </w:p>
    <w:p>
      <w:pPr>
        <w:pStyle w:val="TextBody"/>
        <w:bidi w:val="0"/>
        <w:spacing w:before="0" w:after="0"/>
        <w:jc w:val="left"/>
        <w:rPr/>
      </w:pPr>
      <w:r>
        <w:rPr/>
        <w:t> </w:t>
      </w:r>
      <w:r>
        <w:rPr>
          <w:rFonts w:ascii="Times New Roman" w:hAnsi="Times New Roman"/>
          <w:sz w:val="20"/>
        </w:rPr>
        <w:t xml:space="preserve">The Company’s financial instruments measured at fair value on a recurring basis consists of Level 1 cash equivalents, including money market funds, which were not material as of June 30, 2026, and December 31, 2025. </w:t>
      </w:r>
    </w:p>
    <w:p>
      <w:pPr>
        <w:pStyle w:val="TextBody"/>
        <w:bidi w:val="0"/>
        <w:spacing w:before="0" w:after="0"/>
        <w:jc w:val="left"/>
        <w:rPr/>
      </w:pPr>
      <w:r>
        <w:rPr/>
        <w:t xml:space="preserve">  </w:t>
      </w:r>
    </w:p>
    <w:p>
      <w:pPr>
        <w:pStyle w:val="TextBody"/>
        <w:bidi w:val="0"/>
        <w:spacing w:before="0" w:after="0"/>
        <w:jc w:val="left"/>
        <w:rPr/>
      </w:pPr>
      <w:r>
        <w:rPr/>
        <w:t> </w:t>
      </w:r>
      <w:r>
        <w:rPr>
          <w:rFonts w:ascii="Times New Roman" w:hAnsi="Times New Roman"/>
          <w:sz w:val="20"/>
        </w:rPr>
        <w:t xml:space="preserve">The carrying amount of the Company’s financial instruments, including cash equivalents, short-term investments, prepaid expenses and other current assets, accrued expenses, and other short-term liabilities, approximates fair value due to the short-term nature of these items.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rPr>
        <w:t>STUDENT RECEIVABLES</w:t>
      </w:r>
      <w:r>
        <w:rPr>
          <w:rFonts w:ascii="Times New Roman" w:hAnsi="Times New Roman"/>
          <w:sz w:val="20"/>
        </w:rPr>
        <w:t xml:space="preserv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429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12.</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12.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Student receivables represent funds owed to us in exchange for the educational services provided to a student. Student receivables are reflected net of an allowance for credit losses at the end of the reporting period. Student receivables, net, are reflected on our Condensed Consolidated Balance Sheets as components of both current and non-current assets.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Our students pay for their costs through a variety of funding sources, including federal loan and grant programs, institutional payment plans, U.S. Department of Veterans Affairs and other military funding and grants, private and institutional scholarships and cash payments. Cash receipts from government-related sources are typically received during the current academic term. Students who have not applied for any type of financial aid generally set up a payment plan with the institution and make payments on a monthly basis in accordance with the terms of the payment plan. A student receivable balance is written off when deemed uncollectible, which is typically once a student is out of school and there has been no payment activity on the account for 150 days. If, however, the student does remit a payment during this time period, the 150-day policy for write-off starts again until either (1) the student continues making payments, or (2) the student does not make any additional payments after which the student receivable balance is written off after 150 days. In an effort to reduce the risk of writing off a student’s account, the Company employs a continuous collection effort to minimize exposure from outstanding receivables.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sz w:val="20"/>
        </w:rPr>
        <w:t xml:space="preserve">Students enrolled in the Company’s programs are provided with a variety of funding resources, including financial aid, grants, scholarships and private loans. After exhausting all funding options, if the student is still in need of additional financing, the Company may offer an institutional loan as a lender of last resort.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Our standard student receivable allowance is based on an estimate of lifetime expected credit losses on student receivables that considers vintages of receivables to determine a loss rate. In considering lifetime credit losses, if the expected life goes beyond the Company’s reasonable ability to forecast, the Company then reverts to historical loss experience as an indicator of collections. In determining the expected credit losses for the period, student receivables were disaggregated and pooled into two different categories to refine the calculation. Other information considered included external factors outside the Company’s control. Given that collection history during the COVID-19 pandemic was not considered to be a reliable indicator of a student’s repayment history, the Company adjusted the historical loss calculation by normalizing the financial data relating to that time period. Our estimation methodology further considered a number of quantitative and qualitative factors that, based on our collection experience, we believe have an impact on our repayment risk and ability to collect student receivables. Changes in the trends in any of these factors may impact our estimate of the allowance for credit losses. These factors include, but are not limited to: internal repayment history, student status, changes in current economic conditions, legislative or regulatory environments, internal cash collection forecasts, and the ability to complete the federal financial aid process with the student. These factors are monitored and assessed on a regular basis. Overall, our allowance estimation process for student receivables is validated by trend analysis and comparing estimated and actual performance.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Student Receivables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Company has student receivables that are due greater than 12 months from the date of our Condensed Consolidated Balance Sheets. As of June 30, 2026, and December 31, 2025, the amount of non-current student receivables under payment plans that are longer than 12 months in duration, net of allowance for credit losses, was $21.6 million and $21.2 million, respectively.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amortized cost basis of student receivables as of June 30, 2026, by year of origination.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
        <w:gridCol w:w="1029"/>
        <w:gridCol w:w="157"/>
        <w:gridCol w:w="296"/>
        <w:gridCol w:w="2835"/>
        <w:gridCol w:w="157"/>
        <w:gridCol w:w="951"/>
        <w:gridCol w:w="157"/>
        <w:gridCol w:w="157"/>
        <w:gridCol w:w="296"/>
        <w:gridCol w:w="3594"/>
        <w:gridCol w:w="157"/>
        <w:gridCol w:w="236"/>
      </w:tblGrid>
      <w:tr>
        <w:trPr/>
        <w:tc>
          <w:tcPr>
            <w:tcW w:w="183"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59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183"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59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183"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59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183"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59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183"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59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183"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359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183"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0"/>
              <w:ind w:left="0" w:right="0" w:hanging="0"/>
              <w:jc w:val="left"/>
              <w:rPr/>
            </w:pPr>
            <w:r>
              <w:rPr/>
            </w:r>
          </w:p>
        </w:tc>
        <w:tc>
          <w:tcPr>
            <w:tcW w:w="296" w:type="dxa"/>
            <w:tcBorders>
              <w:bottom w:val="single" w:sz="12" w:space="0" w:color="000000"/>
            </w:tcBorders>
            <w:tcMar>
              <w:bottom w:w="28" w:type="dxa"/>
            </w:tcMar>
            <w:vAlign w:val="bottom"/>
          </w:tcPr>
          <w:p>
            <w:pPr>
              <w:pStyle w:val="TableContents"/>
              <w:bidi w:val="0"/>
              <w:spacing w:before="0" w:after="283"/>
              <w:jc w:val="center"/>
              <w:rPr/>
            </w:pPr>
            <w:r>
              <w:rPr/>
              <w:t> </w:t>
            </w:r>
          </w:p>
        </w:tc>
        <w:tc>
          <w:tcPr>
            <w:tcW w:w="8147" w:type="dxa"/>
            <w:gridSpan w:val="7"/>
            <w:tcBorders>
              <w:bottom w:val="single" w:sz="12" w:space="0" w:color="000000"/>
            </w:tcBorders>
            <w:tcMar>
              <w:bottom w:w="28" w:type="dxa"/>
            </w:tcMar>
            <w:vAlign w:val="bottom"/>
          </w:tcPr>
          <w:p>
            <w:pPr>
              <w:pStyle w:val="TableContents"/>
              <w:bidi w:val="0"/>
              <w:spacing w:before="0" w:after="283"/>
              <w:jc w:val="center"/>
              <w:rPr/>
            </w:pPr>
            <w:r>
              <w:rPr>
                <w:b/>
                <w:spacing w:val="0"/>
                <w:sz w:val="20"/>
              </w:rPr>
              <w:t>June 30, 2026</w:t>
            </w:r>
            <w:r>
              <w:rPr/>
              <w:t xml:space="preserve"> </w:t>
            </w:r>
          </w:p>
        </w:tc>
        <w:tc>
          <w:tcPr>
            <w:tcW w:w="157" w:type="dxa"/>
            <w:tcBorders/>
            <w:vAlign w:val="bottom"/>
          </w:tcPr>
          <w:p>
            <w:pPr>
              <w:pStyle w:val="TableContents"/>
              <w:bidi w:val="0"/>
              <w:spacing w:before="0" w:after="283"/>
              <w:jc w:val="center"/>
              <w:rPr/>
            </w:pPr>
            <w:r>
              <w:rPr/>
              <w:t> </w:t>
            </w:r>
          </w:p>
        </w:tc>
        <w:tc>
          <w:tcPr>
            <w:tcW w:w="236" w:type="dxa"/>
            <w:tcBorders/>
            <w:vAlign w:val="bottom"/>
          </w:tcPr>
          <w:p>
            <w:pPr>
              <w:pStyle w:val="TableContents"/>
              <w:bidi w:val="0"/>
              <w:spacing w:before="0" w:after="283"/>
              <w:jc w:val="center"/>
              <w:rPr/>
            </w:pPr>
            <w:r>
              <w:rPr/>
              <w:t> </w:t>
            </w:r>
          </w:p>
        </w:tc>
      </w:tr>
      <w:tr>
        <w:trPr/>
        <w:tc>
          <w:tcPr>
            <w:tcW w:w="183" w:type="dxa"/>
            <w:tcBorders/>
            <w:vAlign w:val="bottom"/>
          </w:tcPr>
          <w:p>
            <w:pPr>
              <w:pStyle w:val="TableContents"/>
              <w:bidi w:val="0"/>
              <w:spacing w:before="0" w:after="283"/>
              <w:jc w:val="center"/>
              <w:rPr/>
            </w:pPr>
            <w:r>
              <w:rPr/>
              <w:t> </w:t>
            </w:r>
          </w:p>
        </w:tc>
        <w:tc>
          <w:tcPr>
            <w:tcW w:w="1029" w:type="dxa"/>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Year</w:t>
            </w:r>
          </w:p>
        </w:tc>
        <w:tc>
          <w:tcPr>
            <w:tcW w:w="157" w:type="dxa"/>
            <w:tcBorders/>
            <w:vAlign w:val="bottom"/>
          </w:tcPr>
          <w:p>
            <w:pPr>
              <w:pStyle w:val="TableContents"/>
              <w:bidi w:val="0"/>
              <w:spacing w:before="0" w:after="283"/>
              <w:jc w:val="center"/>
              <w:rPr/>
            </w:pPr>
            <w:r>
              <w:rPr/>
              <w:t> </w:t>
            </w:r>
          </w:p>
        </w:tc>
        <w:tc>
          <w:tcPr>
            <w:tcW w:w="296" w:type="dxa"/>
            <w:tcBorders>
              <w:bottom w:val="single" w:sz="12" w:space="0" w:color="000000"/>
            </w:tcBorders>
            <w:tcMar>
              <w:bottom w:w="28" w:type="dxa"/>
            </w:tcMar>
            <w:vAlign w:val="bottom"/>
          </w:tcPr>
          <w:p>
            <w:pPr>
              <w:pStyle w:val="TableContents"/>
              <w:bidi w:val="0"/>
              <w:spacing w:before="0" w:after="283"/>
              <w:jc w:val="center"/>
              <w:rPr/>
            </w:pPr>
            <w:r>
              <w:rPr/>
              <w:t> </w:t>
            </w:r>
          </w:p>
        </w:tc>
        <w:tc>
          <w:tcPr>
            <w:tcW w:w="2835" w:type="dxa"/>
            <w:tcBorders>
              <w:bottom w:val="single" w:sz="12" w:space="0" w:color="000000"/>
            </w:tcBorders>
            <w:tcMar>
              <w:bottom w:w="28" w:type="dxa"/>
            </w:tcMar>
            <w:vAlign w:val="bottom"/>
          </w:tcPr>
          <w:p>
            <w:pPr>
              <w:pStyle w:val="TableContents"/>
              <w:bidi w:val="0"/>
              <w:spacing w:before="0" w:after="0"/>
              <w:ind w:left="0" w:right="0" w:hanging="0"/>
              <w:jc w:val="center"/>
              <w:rPr/>
            </w:pPr>
            <w:r>
              <w:rPr/>
              <w:t> </w:t>
            </w:r>
            <w:r>
              <w:rPr>
                <w:b/>
              </w:rPr>
              <w:t xml:space="preserve">Student </w:t>
            </w:r>
          </w:p>
          <w:p>
            <w:pPr>
              <w:pStyle w:val="TableContents"/>
              <w:bidi w:val="0"/>
              <w:spacing w:before="0" w:after="0"/>
              <w:ind w:left="0" w:right="0" w:hanging="0"/>
              <w:jc w:val="center"/>
              <w:rPr/>
            </w:pPr>
            <w:r>
              <w:rPr/>
              <w:t> </w:t>
            </w:r>
            <w:r>
              <w:rPr>
                <w:b/>
              </w:rPr>
              <w:t>Receivables (1)</w:t>
            </w:r>
          </w:p>
        </w:tc>
        <w:tc>
          <w:tcPr>
            <w:tcW w:w="157" w:type="dxa"/>
            <w:tcBorders/>
            <w:vAlign w:val="bottom"/>
          </w:tcPr>
          <w:p>
            <w:pPr>
              <w:pStyle w:val="TableContents"/>
              <w:bidi w:val="0"/>
              <w:spacing w:before="0" w:after="283"/>
              <w:jc w:val="center"/>
              <w:rPr/>
            </w:pPr>
            <w:r>
              <w:rPr/>
              <w:t> </w:t>
            </w:r>
          </w:p>
        </w:tc>
        <w:tc>
          <w:tcPr>
            <w:tcW w:w="95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center"/>
              <w:rPr/>
            </w:pPr>
            <w:r>
              <w:rPr/>
              <w:t> </w:t>
            </w:r>
          </w:p>
        </w:tc>
        <w:tc>
          <w:tcPr>
            <w:tcW w:w="157" w:type="dxa"/>
            <w:tcBorders/>
            <w:vAlign w:val="bottom"/>
          </w:tcPr>
          <w:p>
            <w:pPr>
              <w:pStyle w:val="TableContents"/>
              <w:bidi w:val="0"/>
              <w:spacing w:before="0" w:after="283"/>
              <w:jc w:val="center"/>
              <w:rPr/>
            </w:pPr>
            <w:r>
              <w:rPr/>
              <w:t> </w:t>
            </w:r>
          </w:p>
        </w:tc>
        <w:tc>
          <w:tcPr>
            <w:tcW w:w="296" w:type="dxa"/>
            <w:tcBorders>
              <w:bottom w:val="single" w:sz="12" w:space="0" w:color="000000"/>
            </w:tcBorders>
            <w:tcMar>
              <w:bottom w:w="28" w:type="dxa"/>
            </w:tcMar>
            <w:vAlign w:val="bottom"/>
          </w:tcPr>
          <w:p>
            <w:pPr>
              <w:pStyle w:val="TableContents"/>
              <w:bidi w:val="0"/>
              <w:spacing w:before="0" w:after="283"/>
              <w:jc w:val="center"/>
              <w:rPr/>
            </w:pPr>
            <w:r>
              <w:rPr/>
              <w:t> </w:t>
            </w:r>
          </w:p>
        </w:tc>
        <w:tc>
          <w:tcPr>
            <w:tcW w:w="3594" w:type="dxa"/>
            <w:tcBorders>
              <w:bottom w:val="single" w:sz="12" w:space="0" w:color="000000"/>
            </w:tcBorders>
            <w:tcMar>
              <w:bottom w:w="28" w:type="dxa"/>
            </w:tcMar>
            <w:vAlign w:val="bottom"/>
          </w:tcPr>
          <w:p>
            <w:pPr>
              <w:pStyle w:val="TableContents"/>
              <w:bidi w:val="0"/>
              <w:spacing w:before="0" w:after="0"/>
              <w:ind w:left="0" w:right="0" w:hanging="0"/>
              <w:jc w:val="center"/>
              <w:rPr/>
            </w:pPr>
            <w:r>
              <w:rPr/>
              <w:t> </w:t>
            </w:r>
            <w:r>
              <w:rPr>
                <w:b/>
              </w:rPr>
              <w:t>Six Months Ended </w:t>
            </w:r>
          </w:p>
          <w:p>
            <w:pPr>
              <w:pStyle w:val="TableContents"/>
              <w:bidi w:val="0"/>
              <w:spacing w:before="0" w:after="0"/>
              <w:ind w:left="0" w:right="0" w:hanging="0"/>
              <w:jc w:val="center"/>
              <w:rPr/>
            </w:pPr>
            <w:r>
              <w:rPr/>
              <w:t> </w:t>
            </w:r>
            <w:r>
              <w:rPr>
                <w:b/>
              </w:rPr>
              <w:t>Write-Off's (2)</w:t>
            </w:r>
          </w:p>
        </w:tc>
        <w:tc>
          <w:tcPr>
            <w:tcW w:w="157" w:type="dxa"/>
            <w:tcBorders/>
            <w:vAlign w:val="bottom"/>
          </w:tcPr>
          <w:p>
            <w:pPr>
              <w:pStyle w:val="TableContents"/>
              <w:bidi w:val="0"/>
              <w:spacing w:before="0" w:after="283"/>
              <w:jc w:val="center"/>
              <w:rPr/>
            </w:pPr>
            <w:r>
              <w:rPr/>
              <w:t> </w:t>
            </w:r>
          </w:p>
        </w:tc>
        <w:tc>
          <w:tcPr>
            <w:tcW w:w="236" w:type="dxa"/>
            <w:tcBorders/>
            <w:vAlign w:val="bottom"/>
          </w:tcPr>
          <w:p>
            <w:pPr>
              <w:pStyle w:val="TableContents"/>
              <w:bidi w:val="0"/>
              <w:spacing w:before="0" w:after="283"/>
              <w:jc w:val="center"/>
              <w:rPr/>
            </w:pPr>
            <w:r>
              <w:rPr/>
              <w:t> </w:t>
            </w:r>
          </w:p>
        </w:tc>
      </w:tr>
      <w:tr>
        <w:trPr/>
        <w:tc>
          <w:tcPr>
            <w:tcW w:w="183" w:type="dxa"/>
            <w:tcBorders/>
            <w:shd w:fill="CCEEFF" w:val="clear"/>
            <w:vAlign w:val="bottom"/>
          </w:tcPr>
          <w:p>
            <w:pPr>
              <w:pStyle w:val="TableContents"/>
              <w:bidi w:val="0"/>
              <w:spacing w:before="0" w:after="283"/>
              <w:jc w:val="center"/>
              <w:rPr/>
            </w:pPr>
            <w:r>
              <w:rPr/>
              <w:t> </w:t>
            </w:r>
          </w:p>
        </w:tc>
        <w:tc>
          <w:tcPr>
            <w:tcW w:w="1029" w:type="dxa"/>
            <w:tcBorders/>
            <w:shd w:fill="CCEEFF" w:val="clear"/>
            <w:vAlign w:val="bottom"/>
          </w:tcPr>
          <w:p>
            <w:pPr>
              <w:pStyle w:val="TableContents"/>
              <w:bidi w:val="0"/>
              <w:spacing w:before="0" w:after="0"/>
              <w:ind w:left="0" w:right="0" w:hanging="0"/>
              <w:jc w:val="center"/>
              <w:rPr/>
            </w:pPr>
            <w:r>
              <w:rPr/>
              <w:t xml:space="preserve">2026 </w:t>
            </w:r>
          </w:p>
        </w:tc>
        <w:tc>
          <w:tcPr>
            <w:tcW w:w="157" w:type="dxa"/>
            <w:tcBorders/>
            <w:shd w:fill="CCEEFF" w:val="clear"/>
            <w:vAlign w:val="bottom"/>
          </w:tcPr>
          <w:p>
            <w:pPr>
              <w:pStyle w:val="TableContents"/>
              <w:bidi w:val="0"/>
              <w:spacing w:before="0" w:after="0"/>
              <w:ind w:left="0" w:right="0" w:hanging="0"/>
              <w:jc w:val="right"/>
              <w:rPr/>
            </w:pPr>
            <w:r>
              <w:rPr/>
              <w:t> </w:t>
            </w:r>
          </w:p>
        </w:tc>
        <w:tc>
          <w:tcPr>
            <w:tcW w:w="296" w:type="dxa"/>
            <w:tcBorders/>
            <w:shd w:fill="CCEEFF" w:val="clear"/>
            <w:vAlign w:val="bottom"/>
          </w:tcPr>
          <w:p>
            <w:pPr>
              <w:pStyle w:val="TableContents"/>
              <w:bidi w:val="0"/>
              <w:spacing w:before="0" w:after="0"/>
              <w:ind w:left="0" w:right="0" w:hanging="0"/>
              <w:jc w:val="left"/>
              <w:rPr/>
            </w:pPr>
            <w:r>
              <w:rPr/>
              <w:t>$</w:t>
            </w:r>
          </w:p>
        </w:tc>
        <w:tc>
          <w:tcPr>
            <w:tcW w:w="2835" w:type="dxa"/>
            <w:tcBorders/>
            <w:shd w:fill="CCEEFF" w:val="clear"/>
            <w:vAlign w:val="bottom"/>
          </w:tcPr>
          <w:p>
            <w:pPr>
              <w:pStyle w:val="TableContents"/>
              <w:bidi w:val="0"/>
              <w:spacing w:before="0" w:after="0"/>
              <w:ind w:left="0" w:right="0" w:hanging="0"/>
              <w:jc w:val="right"/>
              <w:rPr/>
            </w:pPr>
            <w:r>
              <w:rPr/>
              <w:t>67,515</w:t>
            </w:r>
          </w:p>
        </w:tc>
        <w:tc>
          <w:tcPr>
            <w:tcW w:w="157" w:type="dxa"/>
            <w:tcBorders/>
            <w:shd w:fill="CCEEFF" w:val="clear"/>
            <w:vAlign w:val="bottom"/>
          </w:tcPr>
          <w:p>
            <w:pPr>
              <w:pStyle w:val="TableContents"/>
              <w:bidi w:val="0"/>
              <w:spacing w:before="0" w:after="0"/>
              <w:jc w:val="left"/>
              <w:rPr/>
            </w:pPr>
            <w:r>
              <w:rPr/>
              <w:t> </w:t>
            </w:r>
          </w:p>
        </w:tc>
        <w:tc>
          <w:tcPr>
            <w:tcW w:w="951" w:type="dxa"/>
            <w:tcBorders/>
            <w:shd w:fill="CCEEFF" w:val="clear"/>
            <w:vAlign w:val="bottom"/>
          </w:tcPr>
          <w:p>
            <w:pPr>
              <w:pStyle w:val="TableContents"/>
              <w:bidi w:val="0"/>
              <w:spacing w:before="0" w:after="0"/>
              <w:ind w:left="0" w:right="0" w:hanging="0"/>
              <w:jc w:val="center"/>
              <w:rPr/>
            </w:pPr>
            <w:r>
              <w:rPr/>
              <w:t>2026</w:t>
            </w:r>
          </w:p>
        </w:tc>
        <w:tc>
          <w:tcPr>
            <w:tcW w:w="157" w:type="dxa"/>
            <w:tcBorders/>
            <w:shd w:fill="CCEEFF" w:val="clear"/>
            <w:vAlign w:val="bottom"/>
          </w:tcPr>
          <w:p>
            <w:pPr>
              <w:pStyle w:val="TableContents"/>
              <w:bidi w:val="0"/>
              <w:spacing w:before="0" w:after="0"/>
              <w:ind w:left="0" w:right="0" w:hanging="0"/>
              <w:jc w:val="right"/>
              <w:rPr/>
            </w:pPr>
            <w:r>
              <w:rPr/>
              <w:t> </w:t>
            </w:r>
          </w:p>
        </w:tc>
        <w:tc>
          <w:tcPr>
            <w:tcW w:w="157" w:type="dxa"/>
            <w:tcBorders/>
            <w:shd w:fill="CCEEFF" w:val="clear"/>
            <w:vAlign w:val="bottom"/>
          </w:tcPr>
          <w:p>
            <w:pPr>
              <w:pStyle w:val="TableContents"/>
              <w:bidi w:val="0"/>
              <w:spacing w:before="0" w:after="0"/>
              <w:ind w:left="0" w:right="0" w:hanging="0"/>
              <w:jc w:val="right"/>
              <w:rPr/>
            </w:pPr>
            <w:r>
              <w:rPr/>
              <w:t> </w:t>
            </w:r>
          </w:p>
        </w:tc>
        <w:tc>
          <w:tcPr>
            <w:tcW w:w="296" w:type="dxa"/>
            <w:tcBorders/>
            <w:shd w:fill="CCEEFF" w:val="clear"/>
            <w:vAlign w:val="bottom"/>
          </w:tcPr>
          <w:p>
            <w:pPr>
              <w:pStyle w:val="TableContents"/>
              <w:bidi w:val="0"/>
              <w:spacing w:before="0" w:after="0"/>
              <w:ind w:left="0" w:right="0" w:hanging="0"/>
              <w:jc w:val="left"/>
              <w:rPr/>
            </w:pPr>
            <w:r>
              <w:rPr/>
              <w:t>$</w:t>
            </w:r>
          </w:p>
        </w:tc>
        <w:tc>
          <w:tcPr>
            <w:tcW w:w="3594" w:type="dxa"/>
            <w:tcBorders/>
            <w:shd w:fill="CCEEFF" w:val="clear"/>
            <w:vAlign w:val="bottom"/>
          </w:tcPr>
          <w:p>
            <w:pPr>
              <w:pStyle w:val="TableContents"/>
              <w:bidi w:val="0"/>
              <w:spacing w:before="0" w:after="0"/>
              <w:ind w:left="0" w:right="0" w:hanging="0"/>
              <w:jc w:val="right"/>
              <w:rPr/>
            </w:pPr>
            <w:r>
              <w:rPr/>
              <w:t xml:space="preserve">- </w:t>
            </w:r>
          </w:p>
        </w:tc>
        <w:tc>
          <w:tcPr>
            <w:tcW w:w="157" w:type="dxa"/>
            <w:tcBorders/>
            <w:shd w:fill="CCEEFF" w:val="clear"/>
            <w:vAlign w:val="bottom"/>
          </w:tcPr>
          <w:p>
            <w:pPr>
              <w:pStyle w:val="TableContents"/>
              <w:bidi w:val="0"/>
              <w:spacing w:before="0" w:after="0"/>
              <w:ind w:left="0" w:right="0" w:hanging="0"/>
              <w:jc w:val="left"/>
              <w:rPr/>
            </w:pPr>
            <w:r>
              <w:rPr/>
              <w:t> </w:t>
            </w:r>
          </w:p>
        </w:tc>
        <w:tc>
          <w:tcPr>
            <w:tcW w:w="236" w:type="dxa"/>
            <w:tcBorders/>
            <w:shd w:fill="CCEEFF" w:val="clear"/>
            <w:vAlign w:val="bottom"/>
          </w:tcPr>
          <w:p>
            <w:pPr>
              <w:pStyle w:val="TableContents"/>
              <w:bidi w:val="0"/>
              <w:spacing w:before="0" w:after="0"/>
              <w:jc w:val="left"/>
              <w:rPr/>
            </w:pPr>
            <w:r>
              <w:rPr/>
              <w:t> </w:t>
            </w:r>
          </w:p>
        </w:tc>
      </w:tr>
      <w:tr>
        <w:trPr/>
        <w:tc>
          <w:tcPr>
            <w:tcW w:w="183" w:type="dxa"/>
            <w:tcBorders/>
            <w:vAlign w:val="bottom"/>
          </w:tcPr>
          <w:p>
            <w:pPr>
              <w:pStyle w:val="TableContents"/>
              <w:bidi w:val="0"/>
              <w:spacing w:before="0" w:after="283"/>
              <w:jc w:val="center"/>
              <w:rPr/>
            </w:pPr>
            <w:r>
              <w:rPr/>
              <w:t> </w:t>
            </w:r>
          </w:p>
        </w:tc>
        <w:tc>
          <w:tcPr>
            <w:tcW w:w="1029" w:type="dxa"/>
            <w:tcBorders/>
            <w:vAlign w:val="bottom"/>
          </w:tcPr>
          <w:p>
            <w:pPr>
              <w:pStyle w:val="TableContents"/>
              <w:bidi w:val="0"/>
              <w:spacing w:before="0" w:after="0"/>
              <w:ind w:left="0" w:right="0" w:hanging="0"/>
              <w:jc w:val="center"/>
              <w:rPr/>
            </w:pPr>
            <w:r>
              <w:rPr/>
              <w:t xml:space="preserve">2025 </w:t>
            </w:r>
          </w:p>
        </w:tc>
        <w:tc>
          <w:tcPr>
            <w:tcW w:w="157" w:type="dxa"/>
            <w:tcBorders/>
            <w:vAlign w:val="bottom"/>
          </w:tcPr>
          <w:p>
            <w:pPr>
              <w:pStyle w:val="TableContents"/>
              <w:bidi w:val="0"/>
              <w:spacing w:before="0" w:after="0"/>
              <w:ind w:left="0" w:right="0" w:hanging="0"/>
              <w:jc w:val="right"/>
              <w:rPr/>
            </w:pPr>
            <w:r>
              <w:rPr/>
              <w:t> </w:t>
            </w:r>
          </w:p>
        </w:tc>
        <w:tc>
          <w:tcPr>
            <w:tcW w:w="296" w:type="dxa"/>
            <w:tcBorders/>
            <w:vAlign w:val="bottom"/>
          </w:tcPr>
          <w:p>
            <w:pPr>
              <w:pStyle w:val="TableContents"/>
              <w:bidi w:val="0"/>
              <w:spacing w:before="0" w:after="0"/>
              <w:ind w:left="0" w:right="0" w:hanging="0"/>
              <w:jc w:val="left"/>
              <w:rPr/>
            </w:pPr>
            <w:r>
              <w:rPr/>
              <w:t> </w:t>
            </w:r>
          </w:p>
        </w:tc>
        <w:tc>
          <w:tcPr>
            <w:tcW w:w="2835" w:type="dxa"/>
            <w:tcBorders/>
            <w:vAlign w:val="bottom"/>
          </w:tcPr>
          <w:p>
            <w:pPr>
              <w:pStyle w:val="TableContents"/>
              <w:bidi w:val="0"/>
              <w:spacing w:before="0" w:after="0"/>
              <w:ind w:left="0" w:right="0" w:hanging="0"/>
              <w:jc w:val="right"/>
              <w:rPr/>
            </w:pPr>
            <w:r>
              <w:rPr/>
              <w:t>32,633</w:t>
            </w:r>
          </w:p>
        </w:tc>
        <w:tc>
          <w:tcPr>
            <w:tcW w:w="157" w:type="dxa"/>
            <w:tcBorders/>
            <w:vAlign w:val="bottom"/>
          </w:tcPr>
          <w:p>
            <w:pPr>
              <w:pStyle w:val="TableContents"/>
              <w:bidi w:val="0"/>
              <w:spacing w:before="0" w:after="0"/>
              <w:jc w:val="left"/>
              <w:rPr/>
            </w:pPr>
            <w:r>
              <w:rPr/>
              <w:t> </w:t>
            </w:r>
          </w:p>
        </w:tc>
        <w:tc>
          <w:tcPr>
            <w:tcW w:w="951" w:type="dxa"/>
            <w:tcBorders/>
            <w:vAlign w:val="bottom"/>
          </w:tcPr>
          <w:p>
            <w:pPr>
              <w:pStyle w:val="TableContents"/>
              <w:bidi w:val="0"/>
              <w:spacing w:before="0" w:after="0"/>
              <w:ind w:left="0" w:right="0" w:hanging="0"/>
              <w:jc w:val="center"/>
              <w:rPr/>
            </w:pPr>
            <w:r>
              <w:rPr/>
              <w:t>2025</w:t>
            </w:r>
          </w:p>
        </w:tc>
        <w:tc>
          <w:tcPr>
            <w:tcW w:w="157" w:type="dxa"/>
            <w:tcBorders/>
            <w:vAlign w:val="bottom"/>
          </w:tcPr>
          <w:p>
            <w:pPr>
              <w:pStyle w:val="TableContents"/>
              <w:bidi w:val="0"/>
              <w:spacing w:before="0" w:after="0"/>
              <w:ind w:left="0" w:right="0" w:hanging="0"/>
              <w:jc w:val="right"/>
              <w:rPr/>
            </w:pPr>
            <w:r>
              <w:rPr/>
              <w:t> </w:t>
            </w:r>
          </w:p>
        </w:tc>
        <w:tc>
          <w:tcPr>
            <w:tcW w:w="157" w:type="dxa"/>
            <w:tcBorders/>
            <w:vAlign w:val="bottom"/>
          </w:tcPr>
          <w:p>
            <w:pPr>
              <w:pStyle w:val="TableContents"/>
              <w:bidi w:val="0"/>
              <w:spacing w:before="0" w:after="0"/>
              <w:ind w:left="0" w:right="0" w:hanging="0"/>
              <w:jc w:val="right"/>
              <w:rPr/>
            </w:pPr>
            <w:r>
              <w:rPr/>
              <w:t> </w:t>
            </w:r>
          </w:p>
        </w:tc>
        <w:tc>
          <w:tcPr>
            <w:tcW w:w="296" w:type="dxa"/>
            <w:tcBorders/>
            <w:vAlign w:val="bottom"/>
          </w:tcPr>
          <w:p>
            <w:pPr>
              <w:pStyle w:val="TableContents"/>
              <w:bidi w:val="0"/>
              <w:spacing w:before="0" w:after="0"/>
              <w:ind w:left="0" w:right="0" w:hanging="0"/>
              <w:jc w:val="left"/>
              <w:rPr/>
            </w:pPr>
            <w:r>
              <w:rPr/>
              <w:t> </w:t>
            </w:r>
          </w:p>
        </w:tc>
        <w:tc>
          <w:tcPr>
            <w:tcW w:w="3594" w:type="dxa"/>
            <w:tcBorders/>
            <w:vAlign w:val="bottom"/>
          </w:tcPr>
          <w:p>
            <w:pPr>
              <w:pStyle w:val="TableContents"/>
              <w:bidi w:val="0"/>
              <w:spacing w:before="0" w:after="0"/>
              <w:ind w:left="0" w:right="0" w:hanging="0"/>
              <w:jc w:val="right"/>
              <w:rPr/>
            </w:pPr>
            <w:r>
              <w:rPr/>
              <w:t>27,925</w:t>
            </w:r>
          </w:p>
        </w:tc>
        <w:tc>
          <w:tcPr>
            <w:tcW w:w="157" w:type="dxa"/>
            <w:tcBorders/>
            <w:vAlign w:val="bottom"/>
          </w:tcPr>
          <w:p>
            <w:pPr>
              <w:pStyle w:val="TableContents"/>
              <w:bidi w:val="0"/>
              <w:spacing w:before="0" w:after="0"/>
              <w:ind w:left="0" w:right="0" w:hanging="0"/>
              <w:jc w:val="left"/>
              <w:rPr/>
            </w:pPr>
            <w:r>
              <w:rPr/>
              <w:t> </w:t>
            </w:r>
          </w:p>
        </w:tc>
        <w:tc>
          <w:tcPr>
            <w:tcW w:w="236" w:type="dxa"/>
            <w:tcBorders/>
            <w:vAlign w:val="bottom"/>
          </w:tcPr>
          <w:p>
            <w:pPr>
              <w:pStyle w:val="TableContents"/>
              <w:bidi w:val="0"/>
              <w:spacing w:before="0" w:after="0"/>
              <w:jc w:val="left"/>
              <w:rPr/>
            </w:pPr>
            <w:r>
              <w:rPr/>
              <w:t> </w:t>
            </w:r>
          </w:p>
        </w:tc>
      </w:tr>
      <w:tr>
        <w:trPr/>
        <w:tc>
          <w:tcPr>
            <w:tcW w:w="183" w:type="dxa"/>
            <w:tcBorders/>
            <w:shd w:fill="CCEEFF" w:val="clear"/>
            <w:vAlign w:val="bottom"/>
          </w:tcPr>
          <w:p>
            <w:pPr>
              <w:pStyle w:val="TableContents"/>
              <w:bidi w:val="0"/>
              <w:spacing w:before="0" w:after="283"/>
              <w:jc w:val="center"/>
              <w:rPr/>
            </w:pPr>
            <w:r>
              <w:rPr/>
              <w:t> </w:t>
            </w:r>
          </w:p>
        </w:tc>
        <w:tc>
          <w:tcPr>
            <w:tcW w:w="1029" w:type="dxa"/>
            <w:tcBorders/>
            <w:shd w:fill="CCEEFF" w:val="clear"/>
            <w:vAlign w:val="bottom"/>
          </w:tcPr>
          <w:p>
            <w:pPr>
              <w:pStyle w:val="TableContents"/>
              <w:bidi w:val="0"/>
              <w:spacing w:before="0" w:after="0"/>
              <w:ind w:left="0" w:right="0" w:hanging="0"/>
              <w:jc w:val="center"/>
              <w:rPr/>
            </w:pPr>
            <w:r>
              <w:rPr/>
              <w:t xml:space="preserve">2024 </w:t>
            </w:r>
          </w:p>
        </w:tc>
        <w:tc>
          <w:tcPr>
            <w:tcW w:w="157" w:type="dxa"/>
            <w:tcBorders/>
            <w:shd w:fill="CCEEFF" w:val="clear"/>
            <w:vAlign w:val="bottom"/>
          </w:tcPr>
          <w:p>
            <w:pPr>
              <w:pStyle w:val="TableContents"/>
              <w:bidi w:val="0"/>
              <w:spacing w:before="0" w:after="0"/>
              <w:ind w:left="0" w:right="0" w:hanging="0"/>
              <w:jc w:val="right"/>
              <w:rPr/>
            </w:pPr>
            <w:r>
              <w:rPr/>
              <w:t> </w:t>
            </w:r>
          </w:p>
        </w:tc>
        <w:tc>
          <w:tcPr>
            <w:tcW w:w="296" w:type="dxa"/>
            <w:tcBorders/>
            <w:shd w:fill="CCEEFF" w:val="clear"/>
            <w:vAlign w:val="bottom"/>
          </w:tcPr>
          <w:p>
            <w:pPr>
              <w:pStyle w:val="TableContents"/>
              <w:bidi w:val="0"/>
              <w:spacing w:before="0" w:after="0"/>
              <w:ind w:left="0" w:right="0" w:hanging="0"/>
              <w:jc w:val="left"/>
              <w:rPr/>
            </w:pPr>
            <w:r>
              <w:rPr/>
              <w:t> </w:t>
            </w:r>
          </w:p>
        </w:tc>
        <w:tc>
          <w:tcPr>
            <w:tcW w:w="2835" w:type="dxa"/>
            <w:tcBorders/>
            <w:shd w:fill="CCEEFF" w:val="clear"/>
            <w:vAlign w:val="bottom"/>
          </w:tcPr>
          <w:p>
            <w:pPr>
              <w:pStyle w:val="TableContents"/>
              <w:bidi w:val="0"/>
              <w:spacing w:before="0" w:after="0"/>
              <w:ind w:left="0" w:right="0" w:hanging="0"/>
              <w:jc w:val="right"/>
              <w:rPr/>
            </w:pPr>
            <w:r>
              <w:rPr/>
              <w:t>12,131</w:t>
            </w:r>
          </w:p>
        </w:tc>
        <w:tc>
          <w:tcPr>
            <w:tcW w:w="157" w:type="dxa"/>
            <w:tcBorders/>
            <w:shd w:fill="CCEEFF" w:val="clear"/>
            <w:vAlign w:val="bottom"/>
          </w:tcPr>
          <w:p>
            <w:pPr>
              <w:pStyle w:val="TableContents"/>
              <w:bidi w:val="0"/>
              <w:spacing w:before="0" w:after="0"/>
              <w:jc w:val="left"/>
              <w:rPr/>
            </w:pPr>
            <w:r>
              <w:rPr/>
              <w:t> </w:t>
            </w:r>
          </w:p>
        </w:tc>
        <w:tc>
          <w:tcPr>
            <w:tcW w:w="951" w:type="dxa"/>
            <w:tcBorders/>
            <w:shd w:fill="CCEEFF" w:val="clear"/>
            <w:vAlign w:val="bottom"/>
          </w:tcPr>
          <w:p>
            <w:pPr>
              <w:pStyle w:val="TableContents"/>
              <w:bidi w:val="0"/>
              <w:spacing w:before="0" w:after="0"/>
              <w:ind w:left="0" w:right="0" w:hanging="0"/>
              <w:jc w:val="center"/>
              <w:rPr/>
            </w:pPr>
            <w:r>
              <w:rPr/>
              <w:t>2024</w:t>
            </w:r>
          </w:p>
        </w:tc>
        <w:tc>
          <w:tcPr>
            <w:tcW w:w="157" w:type="dxa"/>
            <w:tcBorders/>
            <w:shd w:fill="CCEEFF" w:val="clear"/>
            <w:vAlign w:val="bottom"/>
          </w:tcPr>
          <w:p>
            <w:pPr>
              <w:pStyle w:val="TableContents"/>
              <w:bidi w:val="0"/>
              <w:spacing w:before="0" w:after="0"/>
              <w:ind w:left="0" w:right="0" w:hanging="0"/>
              <w:jc w:val="right"/>
              <w:rPr/>
            </w:pPr>
            <w:r>
              <w:rPr/>
              <w:t> </w:t>
            </w:r>
          </w:p>
        </w:tc>
        <w:tc>
          <w:tcPr>
            <w:tcW w:w="157" w:type="dxa"/>
            <w:tcBorders/>
            <w:shd w:fill="CCEEFF" w:val="clear"/>
            <w:vAlign w:val="bottom"/>
          </w:tcPr>
          <w:p>
            <w:pPr>
              <w:pStyle w:val="TableContents"/>
              <w:bidi w:val="0"/>
              <w:spacing w:before="0" w:after="0"/>
              <w:ind w:left="0" w:right="0" w:hanging="0"/>
              <w:jc w:val="right"/>
              <w:rPr/>
            </w:pPr>
            <w:r>
              <w:rPr/>
              <w:t> </w:t>
            </w:r>
          </w:p>
        </w:tc>
        <w:tc>
          <w:tcPr>
            <w:tcW w:w="296" w:type="dxa"/>
            <w:tcBorders/>
            <w:shd w:fill="CCEEFF" w:val="clear"/>
            <w:vAlign w:val="bottom"/>
          </w:tcPr>
          <w:p>
            <w:pPr>
              <w:pStyle w:val="TableContents"/>
              <w:bidi w:val="0"/>
              <w:spacing w:before="0" w:after="0"/>
              <w:ind w:left="0" w:right="0" w:hanging="0"/>
              <w:jc w:val="left"/>
              <w:rPr/>
            </w:pPr>
            <w:r>
              <w:rPr/>
              <w:t> </w:t>
            </w:r>
          </w:p>
        </w:tc>
        <w:tc>
          <w:tcPr>
            <w:tcW w:w="3594" w:type="dxa"/>
            <w:tcBorders/>
            <w:shd w:fill="CCEEFF" w:val="clear"/>
            <w:vAlign w:val="bottom"/>
          </w:tcPr>
          <w:p>
            <w:pPr>
              <w:pStyle w:val="TableContents"/>
              <w:bidi w:val="0"/>
              <w:spacing w:before="0" w:after="0"/>
              <w:ind w:left="0" w:right="0" w:hanging="0"/>
              <w:jc w:val="right"/>
              <w:rPr/>
            </w:pPr>
            <w:r>
              <w:rPr/>
              <w:t>2,666</w:t>
            </w:r>
          </w:p>
        </w:tc>
        <w:tc>
          <w:tcPr>
            <w:tcW w:w="157" w:type="dxa"/>
            <w:tcBorders/>
            <w:shd w:fill="CCEEFF" w:val="clear"/>
            <w:vAlign w:val="bottom"/>
          </w:tcPr>
          <w:p>
            <w:pPr>
              <w:pStyle w:val="TableContents"/>
              <w:bidi w:val="0"/>
              <w:spacing w:before="0" w:after="0"/>
              <w:ind w:left="0" w:right="0" w:hanging="0"/>
              <w:jc w:val="left"/>
              <w:rPr/>
            </w:pPr>
            <w:r>
              <w:rPr/>
              <w:t> </w:t>
            </w:r>
          </w:p>
        </w:tc>
        <w:tc>
          <w:tcPr>
            <w:tcW w:w="236" w:type="dxa"/>
            <w:tcBorders/>
            <w:shd w:fill="CCEEFF" w:val="clear"/>
            <w:vAlign w:val="bottom"/>
          </w:tcPr>
          <w:p>
            <w:pPr>
              <w:pStyle w:val="TableContents"/>
              <w:bidi w:val="0"/>
              <w:spacing w:before="0" w:after="0"/>
              <w:jc w:val="left"/>
              <w:rPr/>
            </w:pPr>
            <w:r>
              <w:rPr/>
              <w:t> </w:t>
            </w:r>
          </w:p>
        </w:tc>
      </w:tr>
      <w:tr>
        <w:trPr/>
        <w:tc>
          <w:tcPr>
            <w:tcW w:w="183" w:type="dxa"/>
            <w:tcBorders/>
            <w:vAlign w:val="bottom"/>
          </w:tcPr>
          <w:p>
            <w:pPr>
              <w:pStyle w:val="TableContents"/>
              <w:bidi w:val="0"/>
              <w:spacing w:before="0" w:after="283"/>
              <w:jc w:val="center"/>
              <w:rPr/>
            </w:pPr>
            <w:r>
              <w:rPr/>
              <w:t> </w:t>
            </w:r>
          </w:p>
        </w:tc>
        <w:tc>
          <w:tcPr>
            <w:tcW w:w="1029" w:type="dxa"/>
            <w:tcBorders/>
            <w:vAlign w:val="bottom"/>
          </w:tcPr>
          <w:p>
            <w:pPr>
              <w:pStyle w:val="TableContents"/>
              <w:bidi w:val="0"/>
              <w:spacing w:before="0" w:after="0"/>
              <w:ind w:left="0" w:right="0" w:hanging="0"/>
              <w:jc w:val="center"/>
              <w:rPr/>
            </w:pPr>
            <w:r>
              <w:rPr/>
              <w:t xml:space="preserve">2023 </w:t>
            </w:r>
          </w:p>
        </w:tc>
        <w:tc>
          <w:tcPr>
            <w:tcW w:w="157" w:type="dxa"/>
            <w:tcBorders/>
            <w:vAlign w:val="bottom"/>
          </w:tcPr>
          <w:p>
            <w:pPr>
              <w:pStyle w:val="TableContents"/>
              <w:bidi w:val="0"/>
              <w:spacing w:before="0" w:after="0"/>
              <w:ind w:left="0" w:right="0" w:hanging="0"/>
              <w:jc w:val="right"/>
              <w:rPr/>
            </w:pPr>
            <w:r>
              <w:rPr/>
              <w:t> </w:t>
            </w:r>
          </w:p>
        </w:tc>
        <w:tc>
          <w:tcPr>
            <w:tcW w:w="296" w:type="dxa"/>
            <w:tcBorders/>
            <w:vAlign w:val="bottom"/>
          </w:tcPr>
          <w:p>
            <w:pPr>
              <w:pStyle w:val="TableContents"/>
              <w:bidi w:val="0"/>
              <w:spacing w:before="0" w:after="0"/>
              <w:ind w:left="0" w:right="0" w:hanging="0"/>
              <w:jc w:val="left"/>
              <w:rPr/>
            </w:pPr>
            <w:r>
              <w:rPr/>
              <w:t> </w:t>
            </w:r>
          </w:p>
        </w:tc>
        <w:tc>
          <w:tcPr>
            <w:tcW w:w="2835" w:type="dxa"/>
            <w:tcBorders/>
            <w:vAlign w:val="bottom"/>
          </w:tcPr>
          <w:p>
            <w:pPr>
              <w:pStyle w:val="TableContents"/>
              <w:bidi w:val="0"/>
              <w:spacing w:before="0" w:after="0"/>
              <w:ind w:left="0" w:right="0" w:hanging="0"/>
              <w:jc w:val="right"/>
              <w:rPr/>
            </w:pPr>
            <w:r>
              <w:rPr/>
              <w:t>6,475</w:t>
            </w:r>
          </w:p>
        </w:tc>
        <w:tc>
          <w:tcPr>
            <w:tcW w:w="157" w:type="dxa"/>
            <w:tcBorders/>
            <w:vAlign w:val="bottom"/>
          </w:tcPr>
          <w:p>
            <w:pPr>
              <w:pStyle w:val="TableContents"/>
              <w:bidi w:val="0"/>
              <w:spacing w:before="0" w:after="0"/>
              <w:jc w:val="left"/>
              <w:rPr/>
            </w:pPr>
            <w:r>
              <w:rPr/>
              <w:t> </w:t>
            </w:r>
          </w:p>
        </w:tc>
        <w:tc>
          <w:tcPr>
            <w:tcW w:w="951" w:type="dxa"/>
            <w:tcBorders/>
            <w:vAlign w:val="bottom"/>
          </w:tcPr>
          <w:p>
            <w:pPr>
              <w:pStyle w:val="TableContents"/>
              <w:bidi w:val="0"/>
              <w:spacing w:before="0" w:after="0"/>
              <w:ind w:left="0" w:right="0" w:hanging="0"/>
              <w:jc w:val="center"/>
              <w:rPr/>
            </w:pPr>
            <w:r>
              <w:rPr/>
              <w:t>2023</w:t>
            </w:r>
          </w:p>
        </w:tc>
        <w:tc>
          <w:tcPr>
            <w:tcW w:w="157" w:type="dxa"/>
            <w:tcBorders/>
            <w:vAlign w:val="bottom"/>
          </w:tcPr>
          <w:p>
            <w:pPr>
              <w:pStyle w:val="TableContents"/>
              <w:bidi w:val="0"/>
              <w:spacing w:before="0" w:after="0"/>
              <w:ind w:left="0" w:right="0" w:hanging="0"/>
              <w:jc w:val="right"/>
              <w:rPr/>
            </w:pPr>
            <w:r>
              <w:rPr/>
              <w:t> </w:t>
            </w:r>
          </w:p>
        </w:tc>
        <w:tc>
          <w:tcPr>
            <w:tcW w:w="157" w:type="dxa"/>
            <w:tcBorders/>
            <w:vAlign w:val="bottom"/>
          </w:tcPr>
          <w:p>
            <w:pPr>
              <w:pStyle w:val="TableContents"/>
              <w:bidi w:val="0"/>
              <w:spacing w:before="0" w:after="0"/>
              <w:ind w:left="0" w:right="0" w:hanging="0"/>
              <w:jc w:val="right"/>
              <w:rPr/>
            </w:pPr>
            <w:r>
              <w:rPr/>
              <w:t> </w:t>
            </w:r>
          </w:p>
        </w:tc>
        <w:tc>
          <w:tcPr>
            <w:tcW w:w="296" w:type="dxa"/>
            <w:tcBorders/>
            <w:vAlign w:val="bottom"/>
          </w:tcPr>
          <w:p>
            <w:pPr>
              <w:pStyle w:val="TableContents"/>
              <w:bidi w:val="0"/>
              <w:spacing w:before="0" w:after="0"/>
              <w:ind w:left="0" w:right="0" w:hanging="0"/>
              <w:jc w:val="left"/>
              <w:rPr/>
            </w:pPr>
            <w:r>
              <w:rPr/>
              <w:t> </w:t>
            </w:r>
          </w:p>
        </w:tc>
        <w:tc>
          <w:tcPr>
            <w:tcW w:w="3594" w:type="dxa"/>
            <w:tcBorders/>
            <w:vAlign w:val="bottom"/>
          </w:tcPr>
          <w:p>
            <w:pPr>
              <w:pStyle w:val="TableContents"/>
              <w:bidi w:val="0"/>
              <w:spacing w:before="0" w:after="0"/>
              <w:ind w:left="0" w:right="0" w:hanging="0"/>
              <w:jc w:val="right"/>
              <w:rPr/>
            </w:pPr>
            <w:r>
              <w:rPr/>
              <w:t>729</w:t>
            </w:r>
          </w:p>
        </w:tc>
        <w:tc>
          <w:tcPr>
            <w:tcW w:w="157" w:type="dxa"/>
            <w:tcBorders/>
            <w:vAlign w:val="bottom"/>
          </w:tcPr>
          <w:p>
            <w:pPr>
              <w:pStyle w:val="TableContents"/>
              <w:bidi w:val="0"/>
              <w:spacing w:before="0" w:after="0"/>
              <w:ind w:left="0" w:right="0" w:hanging="0"/>
              <w:jc w:val="left"/>
              <w:rPr/>
            </w:pPr>
            <w:r>
              <w:rPr/>
              <w:t> </w:t>
            </w:r>
          </w:p>
        </w:tc>
        <w:tc>
          <w:tcPr>
            <w:tcW w:w="236" w:type="dxa"/>
            <w:tcBorders/>
            <w:vAlign w:val="bottom"/>
          </w:tcPr>
          <w:p>
            <w:pPr>
              <w:pStyle w:val="TableContents"/>
              <w:bidi w:val="0"/>
              <w:spacing w:before="0" w:after="0"/>
              <w:jc w:val="left"/>
              <w:rPr/>
            </w:pPr>
            <w:r>
              <w:rPr/>
              <w:t> </w:t>
            </w:r>
          </w:p>
        </w:tc>
      </w:tr>
      <w:tr>
        <w:trPr/>
        <w:tc>
          <w:tcPr>
            <w:tcW w:w="183" w:type="dxa"/>
            <w:tcBorders/>
            <w:shd w:fill="CCEEFF" w:val="clear"/>
            <w:vAlign w:val="bottom"/>
          </w:tcPr>
          <w:p>
            <w:pPr>
              <w:pStyle w:val="TableContents"/>
              <w:bidi w:val="0"/>
              <w:spacing w:before="0" w:after="283"/>
              <w:jc w:val="center"/>
              <w:rPr/>
            </w:pPr>
            <w:r>
              <w:rPr/>
              <w:t> </w:t>
            </w:r>
          </w:p>
        </w:tc>
        <w:tc>
          <w:tcPr>
            <w:tcW w:w="1029" w:type="dxa"/>
            <w:tcBorders/>
            <w:shd w:fill="CCEEFF" w:val="clear"/>
            <w:vAlign w:val="bottom"/>
          </w:tcPr>
          <w:p>
            <w:pPr>
              <w:pStyle w:val="TableContents"/>
              <w:bidi w:val="0"/>
              <w:spacing w:before="0" w:after="0"/>
              <w:ind w:left="0" w:right="0" w:hanging="0"/>
              <w:jc w:val="center"/>
              <w:rPr/>
            </w:pPr>
            <w:r>
              <w:rPr/>
              <w:t xml:space="preserve">2022 </w:t>
            </w:r>
          </w:p>
        </w:tc>
        <w:tc>
          <w:tcPr>
            <w:tcW w:w="157" w:type="dxa"/>
            <w:tcBorders/>
            <w:shd w:fill="CCEEFF" w:val="clear"/>
            <w:vAlign w:val="bottom"/>
          </w:tcPr>
          <w:p>
            <w:pPr>
              <w:pStyle w:val="TableContents"/>
              <w:bidi w:val="0"/>
              <w:spacing w:before="0" w:after="0"/>
              <w:ind w:left="0" w:right="0" w:hanging="0"/>
              <w:jc w:val="right"/>
              <w:rPr/>
            </w:pPr>
            <w:r>
              <w:rPr/>
              <w:t> </w:t>
            </w:r>
          </w:p>
        </w:tc>
        <w:tc>
          <w:tcPr>
            <w:tcW w:w="296" w:type="dxa"/>
            <w:tcBorders/>
            <w:shd w:fill="CCEEFF" w:val="clear"/>
            <w:vAlign w:val="bottom"/>
          </w:tcPr>
          <w:p>
            <w:pPr>
              <w:pStyle w:val="TableContents"/>
              <w:bidi w:val="0"/>
              <w:spacing w:before="0" w:after="0"/>
              <w:ind w:left="0" w:right="0" w:hanging="0"/>
              <w:jc w:val="left"/>
              <w:rPr/>
            </w:pPr>
            <w:r>
              <w:rPr/>
              <w:t> </w:t>
            </w:r>
          </w:p>
        </w:tc>
        <w:tc>
          <w:tcPr>
            <w:tcW w:w="2835" w:type="dxa"/>
            <w:tcBorders/>
            <w:shd w:fill="CCEEFF" w:val="clear"/>
            <w:vAlign w:val="bottom"/>
          </w:tcPr>
          <w:p>
            <w:pPr>
              <w:pStyle w:val="TableContents"/>
              <w:bidi w:val="0"/>
              <w:spacing w:before="0" w:after="0"/>
              <w:ind w:left="0" w:right="0" w:hanging="0"/>
              <w:jc w:val="right"/>
              <w:rPr/>
            </w:pPr>
            <w:r>
              <w:rPr/>
              <w:t>2,964</w:t>
            </w:r>
          </w:p>
        </w:tc>
        <w:tc>
          <w:tcPr>
            <w:tcW w:w="157" w:type="dxa"/>
            <w:tcBorders/>
            <w:shd w:fill="CCEEFF" w:val="clear"/>
            <w:vAlign w:val="bottom"/>
          </w:tcPr>
          <w:p>
            <w:pPr>
              <w:pStyle w:val="TableContents"/>
              <w:bidi w:val="0"/>
              <w:spacing w:before="0" w:after="0"/>
              <w:jc w:val="left"/>
              <w:rPr/>
            </w:pPr>
            <w:r>
              <w:rPr/>
              <w:t> </w:t>
            </w:r>
          </w:p>
        </w:tc>
        <w:tc>
          <w:tcPr>
            <w:tcW w:w="951" w:type="dxa"/>
            <w:tcBorders/>
            <w:shd w:fill="CCEEFF" w:val="clear"/>
            <w:vAlign w:val="bottom"/>
          </w:tcPr>
          <w:p>
            <w:pPr>
              <w:pStyle w:val="TableContents"/>
              <w:bidi w:val="0"/>
              <w:spacing w:before="0" w:after="0"/>
              <w:ind w:left="0" w:right="0" w:hanging="0"/>
              <w:jc w:val="center"/>
              <w:rPr/>
            </w:pPr>
            <w:r>
              <w:rPr/>
              <w:t>2022</w:t>
            </w:r>
          </w:p>
        </w:tc>
        <w:tc>
          <w:tcPr>
            <w:tcW w:w="157" w:type="dxa"/>
            <w:tcBorders/>
            <w:shd w:fill="CCEEFF" w:val="clear"/>
            <w:vAlign w:val="bottom"/>
          </w:tcPr>
          <w:p>
            <w:pPr>
              <w:pStyle w:val="TableContents"/>
              <w:bidi w:val="0"/>
              <w:spacing w:before="0" w:after="0"/>
              <w:ind w:left="0" w:right="0" w:hanging="0"/>
              <w:jc w:val="right"/>
              <w:rPr/>
            </w:pPr>
            <w:r>
              <w:rPr/>
              <w:t> </w:t>
            </w:r>
          </w:p>
        </w:tc>
        <w:tc>
          <w:tcPr>
            <w:tcW w:w="157" w:type="dxa"/>
            <w:tcBorders/>
            <w:shd w:fill="CCEEFF" w:val="clear"/>
            <w:vAlign w:val="bottom"/>
          </w:tcPr>
          <w:p>
            <w:pPr>
              <w:pStyle w:val="TableContents"/>
              <w:bidi w:val="0"/>
              <w:spacing w:before="0" w:after="0"/>
              <w:ind w:left="0" w:right="0" w:hanging="0"/>
              <w:jc w:val="right"/>
              <w:rPr/>
            </w:pPr>
            <w:r>
              <w:rPr/>
              <w:t> </w:t>
            </w:r>
          </w:p>
        </w:tc>
        <w:tc>
          <w:tcPr>
            <w:tcW w:w="296" w:type="dxa"/>
            <w:tcBorders/>
            <w:shd w:fill="CCEEFF" w:val="clear"/>
            <w:vAlign w:val="bottom"/>
          </w:tcPr>
          <w:p>
            <w:pPr>
              <w:pStyle w:val="TableContents"/>
              <w:bidi w:val="0"/>
              <w:spacing w:before="0" w:after="0"/>
              <w:ind w:left="0" w:right="0" w:hanging="0"/>
              <w:jc w:val="left"/>
              <w:rPr/>
            </w:pPr>
            <w:r>
              <w:rPr/>
              <w:t> </w:t>
            </w:r>
          </w:p>
        </w:tc>
        <w:tc>
          <w:tcPr>
            <w:tcW w:w="3594" w:type="dxa"/>
            <w:tcBorders/>
            <w:shd w:fill="CCEEFF" w:val="clear"/>
            <w:vAlign w:val="bottom"/>
          </w:tcPr>
          <w:p>
            <w:pPr>
              <w:pStyle w:val="TableContents"/>
              <w:bidi w:val="0"/>
              <w:spacing w:before="0" w:after="0"/>
              <w:ind w:left="0" w:right="0" w:hanging="0"/>
              <w:jc w:val="right"/>
              <w:rPr/>
            </w:pPr>
            <w:r>
              <w:rPr/>
              <w:t>267</w:t>
            </w:r>
          </w:p>
        </w:tc>
        <w:tc>
          <w:tcPr>
            <w:tcW w:w="157" w:type="dxa"/>
            <w:tcBorders/>
            <w:shd w:fill="CCEEFF" w:val="clear"/>
            <w:vAlign w:val="bottom"/>
          </w:tcPr>
          <w:p>
            <w:pPr>
              <w:pStyle w:val="TableContents"/>
              <w:bidi w:val="0"/>
              <w:spacing w:before="0" w:after="0"/>
              <w:ind w:left="0" w:right="0" w:hanging="0"/>
              <w:jc w:val="left"/>
              <w:rPr/>
            </w:pPr>
            <w:r>
              <w:rPr/>
              <w:t> </w:t>
            </w:r>
          </w:p>
        </w:tc>
        <w:tc>
          <w:tcPr>
            <w:tcW w:w="236" w:type="dxa"/>
            <w:tcBorders/>
            <w:shd w:fill="CCEEFF" w:val="clear"/>
            <w:vAlign w:val="bottom"/>
          </w:tcPr>
          <w:p>
            <w:pPr>
              <w:pStyle w:val="TableContents"/>
              <w:bidi w:val="0"/>
              <w:spacing w:before="0" w:after="0"/>
              <w:jc w:val="left"/>
              <w:rPr/>
            </w:pPr>
            <w:r>
              <w:rPr/>
              <w:t> </w:t>
            </w:r>
          </w:p>
        </w:tc>
      </w:tr>
      <w:tr>
        <w:trPr/>
        <w:tc>
          <w:tcPr>
            <w:tcW w:w="183" w:type="dxa"/>
            <w:tcBorders/>
            <w:vAlign w:val="bottom"/>
          </w:tcPr>
          <w:p>
            <w:pPr>
              <w:pStyle w:val="TableContents"/>
              <w:bidi w:val="0"/>
              <w:spacing w:before="0" w:after="283"/>
              <w:jc w:val="center"/>
              <w:rPr/>
            </w:pPr>
            <w:r>
              <w:rPr/>
              <w:t> </w:t>
            </w:r>
          </w:p>
        </w:tc>
        <w:tc>
          <w:tcPr>
            <w:tcW w:w="1029" w:type="dxa"/>
            <w:tcBorders/>
            <w:vAlign w:val="bottom"/>
          </w:tcPr>
          <w:p>
            <w:pPr>
              <w:pStyle w:val="TableContents"/>
              <w:bidi w:val="0"/>
              <w:spacing w:before="0" w:after="0"/>
              <w:ind w:left="0" w:right="0" w:hanging="0"/>
              <w:jc w:val="center"/>
              <w:rPr/>
            </w:pPr>
            <w:r>
              <w:rPr/>
              <w:t>Prior</w:t>
            </w:r>
          </w:p>
        </w:tc>
        <w:tc>
          <w:tcPr>
            <w:tcW w:w="157" w:type="dxa"/>
            <w:tcBorders/>
            <w:vAlign w:val="bottom"/>
          </w:tcPr>
          <w:p>
            <w:pPr>
              <w:pStyle w:val="TableContents"/>
              <w:bidi w:val="0"/>
              <w:spacing w:before="0" w:after="0"/>
              <w:ind w:left="0" w:right="0" w:hanging="0"/>
              <w:jc w:val="right"/>
              <w:rPr/>
            </w:pPr>
            <w:r>
              <w:rPr/>
              <w:t> </w:t>
            </w:r>
          </w:p>
        </w:tc>
        <w:tc>
          <w:tcPr>
            <w:tcW w:w="296"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2835" w:type="dxa"/>
            <w:tcBorders>
              <w:bottom w:val="single" w:sz="12" w:space="0" w:color="000000"/>
            </w:tcBorders>
            <w:tcMar>
              <w:bottom w:w="28" w:type="dxa"/>
            </w:tcMar>
            <w:vAlign w:val="bottom"/>
          </w:tcPr>
          <w:p>
            <w:pPr>
              <w:pStyle w:val="TableContents"/>
              <w:bidi w:val="0"/>
              <w:spacing w:before="0" w:after="0"/>
              <w:ind w:left="0" w:right="0" w:hanging="0"/>
              <w:jc w:val="right"/>
              <w:rPr/>
            </w:pPr>
            <w:r>
              <w:rPr/>
              <w:t>2,272</w:t>
            </w:r>
          </w:p>
        </w:tc>
        <w:tc>
          <w:tcPr>
            <w:tcW w:w="157" w:type="dxa"/>
            <w:tcBorders/>
            <w:vAlign w:val="bottom"/>
          </w:tcPr>
          <w:p>
            <w:pPr>
              <w:pStyle w:val="TableContents"/>
              <w:bidi w:val="0"/>
              <w:spacing w:before="0" w:after="0"/>
              <w:jc w:val="left"/>
              <w:rPr/>
            </w:pPr>
            <w:r>
              <w:rPr/>
              <w:t> </w:t>
            </w:r>
          </w:p>
        </w:tc>
        <w:tc>
          <w:tcPr>
            <w:tcW w:w="951" w:type="dxa"/>
            <w:tcBorders/>
            <w:vAlign w:val="bottom"/>
          </w:tcPr>
          <w:p>
            <w:pPr>
              <w:pStyle w:val="TableContents"/>
              <w:bidi w:val="0"/>
              <w:spacing w:before="0" w:after="0"/>
              <w:ind w:left="0" w:right="0" w:hanging="0"/>
              <w:jc w:val="center"/>
              <w:rPr/>
            </w:pPr>
            <w:r>
              <w:rPr/>
              <w:t>Prior</w:t>
            </w:r>
          </w:p>
        </w:tc>
        <w:tc>
          <w:tcPr>
            <w:tcW w:w="157" w:type="dxa"/>
            <w:tcBorders/>
            <w:vAlign w:val="bottom"/>
          </w:tcPr>
          <w:p>
            <w:pPr>
              <w:pStyle w:val="TableContents"/>
              <w:bidi w:val="0"/>
              <w:spacing w:before="0" w:after="0"/>
              <w:ind w:left="0" w:right="0" w:hanging="0"/>
              <w:jc w:val="right"/>
              <w:rPr/>
            </w:pPr>
            <w:r>
              <w:rPr/>
              <w:t> </w:t>
            </w:r>
          </w:p>
        </w:tc>
        <w:tc>
          <w:tcPr>
            <w:tcW w:w="157" w:type="dxa"/>
            <w:tcBorders/>
            <w:vAlign w:val="bottom"/>
          </w:tcPr>
          <w:p>
            <w:pPr>
              <w:pStyle w:val="TableContents"/>
              <w:bidi w:val="0"/>
              <w:spacing w:before="0" w:after="0"/>
              <w:ind w:left="0" w:right="0" w:hanging="0"/>
              <w:jc w:val="right"/>
              <w:rPr/>
            </w:pPr>
            <w:r>
              <w:rPr/>
              <w:t> </w:t>
            </w:r>
          </w:p>
        </w:tc>
        <w:tc>
          <w:tcPr>
            <w:tcW w:w="296"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3594" w:type="dxa"/>
            <w:tcBorders>
              <w:bottom w:val="single" w:sz="12" w:space="0" w:color="000000"/>
            </w:tcBorders>
            <w:tcMar>
              <w:bottom w:w="28" w:type="dxa"/>
            </w:tcMar>
            <w:vAlign w:val="bottom"/>
          </w:tcPr>
          <w:p>
            <w:pPr>
              <w:pStyle w:val="TableContents"/>
              <w:bidi w:val="0"/>
              <w:spacing w:before="0" w:after="0"/>
              <w:ind w:left="0" w:right="0" w:hanging="0"/>
              <w:jc w:val="right"/>
              <w:rPr/>
            </w:pPr>
            <w:r>
              <w:rPr/>
              <w:t>233</w:t>
            </w:r>
          </w:p>
        </w:tc>
        <w:tc>
          <w:tcPr>
            <w:tcW w:w="157" w:type="dxa"/>
            <w:tcBorders/>
            <w:vAlign w:val="bottom"/>
          </w:tcPr>
          <w:p>
            <w:pPr>
              <w:pStyle w:val="TableContents"/>
              <w:bidi w:val="0"/>
              <w:spacing w:before="0" w:after="0"/>
              <w:ind w:left="0" w:right="0" w:hanging="0"/>
              <w:jc w:val="left"/>
              <w:rPr/>
            </w:pPr>
            <w:r>
              <w:rPr/>
              <w:t> </w:t>
            </w:r>
          </w:p>
        </w:tc>
        <w:tc>
          <w:tcPr>
            <w:tcW w:w="236" w:type="dxa"/>
            <w:tcBorders/>
            <w:vAlign w:val="bottom"/>
          </w:tcPr>
          <w:p>
            <w:pPr>
              <w:pStyle w:val="TableContents"/>
              <w:bidi w:val="0"/>
              <w:spacing w:before="0" w:after="0"/>
              <w:jc w:val="left"/>
              <w:rPr/>
            </w:pPr>
            <w:r>
              <w:rPr/>
              <w:t> </w:t>
            </w:r>
          </w:p>
        </w:tc>
      </w:tr>
      <w:tr>
        <w:trPr/>
        <w:tc>
          <w:tcPr>
            <w:tcW w:w="183" w:type="dxa"/>
            <w:tcBorders/>
            <w:shd w:fill="CCEEFF" w:val="clear"/>
            <w:vAlign w:val="bottom"/>
          </w:tcPr>
          <w:p>
            <w:pPr>
              <w:pStyle w:val="TableContents"/>
              <w:bidi w:val="0"/>
              <w:spacing w:before="0" w:after="283"/>
              <w:jc w:val="center"/>
              <w:rPr/>
            </w:pPr>
            <w:r>
              <w:rPr/>
              <w:t> </w:t>
            </w:r>
          </w:p>
        </w:tc>
        <w:tc>
          <w:tcPr>
            <w:tcW w:w="1029" w:type="dxa"/>
            <w:tcBorders/>
            <w:shd w:fill="CCEEFF" w:val="clear"/>
            <w:vAlign w:val="bottom"/>
          </w:tcPr>
          <w:p>
            <w:pPr>
              <w:pStyle w:val="TableContents"/>
              <w:bidi w:val="0"/>
              <w:spacing w:before="0" w:after="0"/>
              <w:ind w:left="0" w:right="0" w:hanging="0"/>
              <w:jc w:val="center"/>
              <w:rPr/>
            </w:pPr>
            <w:r>
              <w:rPr/>
              <w:t>Total</w:t>
            </w:r>
          </w:p>
        </w:tc>
        <w:tc>
          <w:tcPr>
            <w:tcW w:w="157" w:type="dxa"/>
            <w:tcBorders/>
            <w:shd w:fill="CCEEFF" w:val="clear"/>
            <w:vAlign w:val="bottom"/>
          </w:tcPr>
          <w:p>
            <w:pPr>
              <w:pStyle w:val="TableContents"/>
              <w:bidi w:val="0"/>
              <w:spacing w:before="0" w:after="0"/>
              <w:ind w:left="0" w:right="0" w:hanging="0"/>
              <w:jc w:val="right"/>
              <w:rPr/>
            </w:pPr>
            <w:r>
              <w:rPr/>
              <w:t> </w:t>
            </w:r>
          </w:p>
        </w:tc>
        <w:tc>
          <w:tcPr>
            <w:tcW w:w="296"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283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123,990</w:t>
            </w:r>
          </w:p>
        </w:tc>
        <w:tc>
          <w:tcPr>
            <w:tcW w:w="157"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51" w:type="dxa"/>
            <w:tcBorders/>
            <w:shd w:fill="CCEEFF" w:val="clear"/>
            <w:vAlign w:val="bottom"/>
          </w:tcPr>
          <w:p>
            <w:pPr>
              <w:pStyle w:val="TableContents"/>
              <w:bidi w:val="0"/>
              <w:spacing w:before="0" w:after="0"/>
              <w:ind w:left="0" w:right="0" w:hanging="0"/>
              <w:jc w:val="center"/>
              <w:rPr/>
            </w:pPr>
            <w:r>
              <w:rPr/>
              <w:t>Total</w:t>
            </w:r>
          </w:p>
        </w:tc>
        <w:tc>
          <w:tcPr>
            <w:tcW w:w="157" w:type="dxa"/>
            <w:tcBorders/>
            <w:shd w:fill="CCEEFF" w:val="clear"/>
            <w:vAlign w:val="bottom"/>
          </w:tcPr>
          <w:p>
            <w:pPr>
              <w:pStyle w:val="TableContents"/>
              <w:bidi w:val="0"/>
              <w:spacing w:before="0" w:after="0"/>
              <w:ind w:left="0" w:right="0" w:hanging="0"/>
              <w:jc w:val="right"/>
              <w:rPr/>
            </w:pPr>
            <w:r>
              <w:rPr/>
              <w:t> </w:t>
            </w:r>
          </w:p>
        </w:tc>
        <w:tc>
          <w:tcPr>
            <w:tcW w:w="157" w:type="dxa"/>
            <w:tcBorders/>
            <w:shd w:fill="CCEEFF" w:val="clear"/>
            <w:vAlign w:val="bottom"/>
          </w:tcPr>
          <w:p>
            <w:pPr>
              <w:pStyle w:val="TableContents"/>
              <w:bidi w:val="0"/>
              <w:spacing w:before="0" w:after="0"/>
              <w:ind w:left="0" w:right="0" w:hanging="0"/>
              <w:jc w:val="right"/>
              <w:rPr/>
            </w:pPr>
            <w:r>
              <w:rPr/>
              <w:t> </w:t>
            </w:r>
          </w:p>
        </w:tc>
        <w:tc>
          <w:tcPr>
            <w:tcW w:w="296"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3594"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31,820</w:t>
            </w:r>
          </w:p>
        </w:tc>
        <w:tc>
          <w:tcPr>
            <w:tcW w:w="157"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r>
    </w:tbl>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Student receivables are presented on a gross basis from the individual students. The total receivable amount above excludes (i) federal subsidies reflected on the students’ accounts but not yet received from the government, and (ii) receivables from industry relationships, which are otherwise included under accounts receivable in our Condensed Consolidated Balance Sheets.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286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Write-off amounts are based on the students' school departure year.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2286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Company does not utilize or maintain data pertaining to student credit information.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Allowance for Credit Losses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We define student receivables as a portfolio segment under ASU 2016-13, </w:t>
      </w:r>
      <w:r>
        <w:rPr>
          <w:rFonts w:ascii="Times New Roman" w:hAnsi="Times New Roman"/>
          <w:i/>
          <w:sz w:val="20"/>
        </w:rPr>
        <w:t>Financial Instruments—Credit Losses (Topic 326): Measurement of Credit Losses on Financial Instruments</w:t>
      </w:r>
      <w:r>
        <w:rPr>
          <w:rFonts w:ascii="Times New Roman" w:hAnsi="Times New Roman"/>
          <w:sz w:val="20"/>
        </w:rPr>
        <w:t xml:space="preserve"> (“ASC 326”). Changes in our current and non-current allowance for credit losses related to our student receivable portfolio were calculated in accordance with ASC 326 for the six months ended June 30, 2026, and 2025, respectively.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tbl>
      <w:tblPr>
        <w:tblW w:w="5748" w:type="dxa"/>
        <w:jc w:val="left"/>
        <w:tblInd w:w="0" w:type="dxa"/>
        <w:tblLayout w:type="fixed"/>
        <w:tblCellMar>
          <w:top w:w="0" w:type="dxa"/>
          <w:left w:w="0" w:type="dxa"/>
          <w:bottom w:w="0" w:type="dxa"/>
          <w:right w:w="0" w:type="dxa"/>
        </w:tblCellMar>
      </w:tblPr>
      <w:tblGrid>
        <w:gridCol w:w="2870"/>
        <w:gridCol w:w="90"/>
        <w:gridCol w:w="170"/>
        <w:gridCol w:w="931"/>
        <w:gridCol w:w="219"/>
        <w:gridCol w:w="106"/>
        <w:gridCol w:w="201"/>
        <w:gridCol w:w="931"/>
        <w:gridCol w:w="230"/>
      </w:tblGrid>
      <w:tr>
        <w:trPr/>
        <w:tc>
          <w:tcPr>
            <w:tcW w:w="2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388"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sz w:val="20"/>
              </w:rPr>
              <w:t>Six Months Ended June 30,</w:t>
            </w:r>
            <w:r>
              <w:rPr/>
              <w:t xml:space="preserve"> </w:t>
            </w:r>
          </w:p>
        </w:tc>
        <w:tc>
          <w:tcPr>
            <w:tcW w:w="230" w:type="dxa"/>
            <w:tcBorders/>
            <w:vAlign w:val="center"/>
          </w:tcPr>
          <w:p>
            <w:pPr>
              <w:pStyle w:val="TableContents"/>
              <w:bidi w:val="0"/>
              <w:spacing w:before="0" w:after="283"/>
              <w:jc w:val="center"/>
              <w:rPr/>
            </w:pPr>
            <w:r>
              <w:rPr/>
              <w:t> </w:t>
            </w:r>
          </w:p>
        </w:tc>
      </w:tr>
      <w:tr>
        <w:trPr/>
        <w:tc>
          <w:tcPr>
            <w:tcW w:w="2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31"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19"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201"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31"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0" w:type="dxa"/>
            <w:tcBorders/>
            <w:vAlign w:val="center"/>
          </w:tcPr>
          <w:p>
            <w:pPr>
              <w:pStyle w:val="TableContents"/>
              <w:bidi w:val="0"/>
              <w:spacing w:before="0" w:after="283"/>
              <w:jc w:val="center"/>
              <w:rPr/>
            </w:pPr>
            <w:r>
              <w:rPr/>
              <w:t> </w:t>
            </w:r>
          </w:p>
        </w:tc>
      </w:tr>
      <w:tr>
        <w:trPr/>
        <w:tc>
          <w:tcPr>
            <w:tcW w:w="2870" w:type="dxa"/>
            <w:tcBorders/>
            <w:shd w:fill="CCEEFF" w:val="clear"/>
            <w:vAlign w:val="center"/>
          </w:tcPr>
          <w:p>
            <w:pPr>
              <w:pStyle w:val="TableContents"/>
              <w:bidi w:val="0"/>
              <w:spacing w:before="0" w:after="0"/>
              <w:ind w:left="0" w:right="0" w:hanging="144"/>
              <w:jc w:val="left"/>
              <w:rPr/>
            </w:pPr>
            <w:r>
              <w:rPr/>
              <w:t xml:space="preserve">Balance, beginning of period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31" w:type="dxa"/>
            <w:tcBorders/>
            <w:shd w:fill="CCEEFF" w:val="clear"/>
            <w:vAlign w:val="center"/>
          </w:tcPr>
          <w:p>
            <w:pPr>
              <w:pStyle w:val="TableContents"/>
              <w:bidi w:val="0"/>
              <w:spacing w:before="0" w:after="283"/>
              <w:jc w:val="right"/>
              <w:rPr/>
            </w:pPr>
            <w:r>
              <w:rPr/>
              <w:t>70,346</w:t>
            </w:r>
          </w:p>
        </w:tc>
        <w:tc>
          <w:tcPr>
            <w:tcW w:w="21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w:t>
            </w:r>
          </w:p>
        </w:tc>
        <w:tc>
          <w:tcPr>
            <w:tcW w:w="931" w:type="dxa"/>
            <w:tcBorders/>
            <w:shd w:fill="CCEEFF" w:val="clear"/>
            <w:vAlign w:val="center"/>
          </w:tcPr>
          <w:p>
            <w:pPr>
              <w:pStyle w:val="TableContents"/>
              <w:bidi w:val="0"/>
              <w:spacing w:before="0" w:after="283"/>
              <w:jc w:val="right"/>
              <w:rPr/>
            </w:pPr>
            <w:r>
              <w:rPr/>
              <w:t>65,572</w:t>
            </w:r>
          </w:p>
        </w:tc>
        <w:tc>
          <w:tcPr>
            <w:tcW w:w="230"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ind w:left="0" w:right="0" w:hanging="144"/>
              <w:jc w:val="left"/>
              <w:rPr/>
            </w:pPr>
            <w:r>
              <w:rPr/>
              <w:t xml:space="preserve">Provision for credit losses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29,717</w:t>
            </w:r>
          </w:p>
        </w:tc>
        <w:tc>
          <w:tcPr>
            <w:tcW w:w="21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25,012</w:t>
            </w:r>
          </w:p>
        </w:tc>
        <w:tc>
          <w:tcPr>
            <w:tcW w:w="230"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144"/>
              <w:jc w:val="left"/>
              <w:rPr/>
            </w:pPr>
            <w:r>
              <w:rPr/>
              <w:t>Write-offs</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pPr>
            <w:r>
              <w:rPr/>
              <w:t>(31,820</w:t>
            </w:r>
          </w:p>
        </w:tc>
        <w:tc>
          <w:tcPr>
            <w:tcW w:w="21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righ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pPr>
            <w:r>
              <w:rPr/>
              <w:t>(22,730</w:t>
            </w:r>
          </w:p>
        </w:tc>
        <w:tc>
          <w:tcPr>
            <w:tcW w:w="230"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ind w:left="0" w:right="0" w:hanging="144"/>
              <w:jc w:val="left"/>
              <w:rPr/>
            </w:pPr>
            <w:r>
              <w:rPr/>
              <w:t xml:space="preserve">Balance, at end of period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931" w:type="dxa"/>
            <w:tcBorders>
              <w:bottom w:val="double" w:sz="8" w:space="0" w:color="000000"/>
            </w:tcBorders>
            <w:tcMar>
              <w:bottom w:w="28" w:type="dxa"/>
            </w:tcMar>
            <w:vAlign w:val="center"/>
          </w:tcPr>
          <w:p>
            <w:pPr>
              <w:pStyle w:val="TableContents"/>
              <w:bidi w:val="0"/>
              <w:spacing w:before="0" w:after="283"/>
              <w:jc w:val="right"/>
              <w:rPr/>
            </w:pPr>
            <w:r>
              <w:rPr/>
              <w:t>68,243</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right"/>
              <w:rPr/>
            </w:pPr>
            <w:r>
              <w:rPr/>
              <w:t> </w:t>
            </w:r>
          </w:p>
        </w:tc>
        <w:tc>
          <w:tcPr>
            <w:tcW w:w="201" w:type="dxa"/>
            <w:tcBorders>
              <w:bottom w:val="double" w:sz="8" w:space="0" w:color="000000"/>
            </w:tcBorders>
            <w:tcMar>
              <w:bottom w:w="28" w:type="dxa"/>
            </w:tcMar>
            <w:vAlign w:val="center"/>
          </w:tcPr>
          <w:p>
            <w:pPr>
              <w:pStyle w:val="TableContents"/>
              <w:bidi w:val="0"/>
              <w:spacing w:before="0" w:after="283"/>
              <w:jc w:val="left"/>
              <w:rPr/>
            </w:pPr>
            <w:r>
              <w:rPr/>
              <w:t>$</w:t>
            </w:r>
          </w:p>
        </w:tc>
        <w:tc>
          <w:tcPr>
            <w:tcW w:w="931" w:type="dxa"/>
            <w:tcBorders>
              <w:bottom w:val="double" w:sz="8" w:space="0" w:color="000000"/>
            </w:tcBorders>
            <w:tcMar>
              <w:bottom w:w="28" w:type="dxa"/>
            </w:tcMar>
            <w:vAlign w:val="center"/>
          </w:tcPr>
          <w:p>
            <w:pPr>
              <w:pStyle w:val="TableContents"/>
              <w:bidi w:val="0"/>
              <w:spacing w:before="0" w:after="283"/>
              <w:jc w:val="right"/>
              <w:rPr/>
            </w:pPr>
            <w:r>
              <w:rPr/>
              <w:t>67,854</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Fair Value Measurements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carrying amount reported in our Condensed Consolidated Balance Sheets for the current portion of student receivables approximates fair value because of the nature of these financial instruments, as they generally have short maturity periods. It is not practicable to estimate the fair value of the non-current portion of student receivables, since observable market data is not readily available and no reasonable estimation methodology exists.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rPr>
        <w:t>SUBSEQUENT EVENTS</w:t>
      </w:r>
      <w:r>
        <w:rPr>
          <w:rFonts w:ascii="Times New Roman" w:hAnsi="Times New Roman"/>
          <w:sz w:val="20"/>
        </w:rPr>
        <w:t xml:space="preserve">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3429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13.</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13.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rPr>
        <w:t>Melrose Park Property Acquisition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On July 7, 2026, Lincoln Technical Institute, Inc., a wholly-owned subsidiary of the Company, completed the acquisition of the facility and real property in Melrose Park, Illinois, which the Company had previously leased. The purchase price was $18.8 million, funded in part by a $15.0 million mortgage loan from Provident Bank, with the remainder funded by cash on hand. The loan bears interest at a fixed rate of 5.99% per year for the first five years, resetting thereafter to a rate equal to 1.75% in excess of the five-year U.S. Treasury yield, provided that the interest rate payable will at no time be less than five percent (5.00%) per annum. The loan matures on July 1, 2036.</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900"/>
        <w:jc w:val="left"/>
        <w:rPr>
          <w:rFonts w:ascii="Times New Roman" w:hAnsi="Times New Roman"/>
          <w:sz w:val="20"/>
        </w:rPr>
      </w:pPr>
      <w:bookmarkStart w:id="12" w:name="MANAGEMENTS_DISCUSSION"/>
      <w:bookmarkEnd w:id="12"/>
      <w:r>
        <w:rPr>
          <w:rFonts w:ascii="Times New Roman" w:hAnsi="Times New Roman"/>
          <w:b/>
          <w:sz w:val="20"/>
        </w:rPr>
        <w:t>MANAGEMENT’S DISCUSSION AND ANALYSIS OF FINANCIAL CONDITION AND RESULTS OF OPERATIONS</w:t>
      </w:r>
      <w:r>
        <w:rPr>
          <w:rFonts w:ascii="Times New Roman" w:hAnsi="Times New Roman"/>
          <w:sz w:val="20"/>
        </w:rPr>
        <w:t xml:space="preserve">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5715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sz w:val="20"/>
                              </w:rPr>
                              <w:t>Item 2.</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2.</w:t>
                      </w:r>
                      <w:r>
                        <w:rPr/>
                        <w:t xml:space="preserve"> </w:t>
                      </w:r>
                    </w:p>
                  </w:txbxContent>
                </v:textbox>
                <w10:wrap type="square" side="right"/>
              </v:rect>
            </w:pict>
          </mc:Fallback>
        </mc:AlternateContent>
      </w:r>
    </w:p>
    <w:p>
      <w:pPr>
        <w:pStyle w:val="TextBody"/>
        <w:bidi w:val="0"/>
        <w:spacing w:before="0" w:after="0"/>
        <w:ind w:left="0" w:right="0" w:hanging="900"/>
        <w:jc w:val="left"/>
        <w:rPr/>
      </w:pPr>
      <w:r>
        <w:rPr/>
        <w:t>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5715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jc w:val="left"/>
        <w:rPr>
          <w:rFonts w:ascii="Times New Roman" w:hAnsi="Times New Roman"/>
          <w:sz w:val="20"/>
        </w:rPr>
      </w:pPr>
      <w:r>
        <w:rPr>
          <w:rFonts w:ascii="Times New Roman" w:hAnsi="Times New Roman"/>
          <w:sz w:val="20"/>
        </w:rPr>
        <w:t xml:space="preserve">All references in this Quarterly Report on Form 10-Q (“Form 10-Q”) to “we,” “our,” “us” and the “Company” refer to Lincoln Educational Services Corporation and its subsidiaries unless the context indicates otherwise.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This discussion may contain forward-looking statements that are based on management's current expectations, estimates and projections about our business and operations. Our actual results may differ materially from those currently anticipated and expressed in such forward-looking statements, which are subject to certain risks and uncertainties posed by many factors and events that could cause our actual business, prospects, and results of operations to differ materially from those that may be anticipated by such forward-looking statements. Such statements may be identified by the use of words such as “expect,” “estimate,” “assume,” “believe,” “anticipate,” “may,” “will,” “forecast,” “outlook,” “plan,” “project,” or similar words and include, without limitation, statements relating to future enrollment, revenues, revenues per student, earnings growth, operating expenses, capital expenditures, and the effect of pandemics and its ultimate effect on the Company’s business and results. These statements are based on the Company’s current expectations and are subject to a number of assumptions, risks and uncertainties. Additional factors that could cause or contribute to differences between our actual results and those anticipated include, but are not limited to, those described in the “Risk Factors” section of our Form 10-K and in our other filings with the SEC. Readers are cautioned not to place undue reliance on these forward-looking statements, which speak only as of the date of this report. We undertake no obligation to revise any forward-looking statements in order to reflect events or circumstances that may subsequently arise. Readers are urged to carefully review and consider the various disclosures made by us in this Form 10-Q and in our other reports filed with the SEC that advise interested parties of the risks and factors that may affect our business.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Company’s business is organized into two reportable business segments: Campus Operations; and Transitional. The Campus Operations segment includes campuses that are continuing in operation and contribute to the Company’s core operations and performance. The Transitional segment refers to campuses that have been marked for closure and are being taught out. As of June 30, 2026 no campuses were classified in the Transitional segment.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We evaluate performance based on operating results. Adjustments to reconcile segment results with consolidated results are included in the caption “Corporate,” which primarily includes unallocated corporate activity. The interim financial statements and related notes thereto appearing elsewhere in this Form 10-Q and the discussions contained herein should be read in conjunction with the annual financial statements and notes thereto included in our Form 10-K, which includes audited Consolidated Financial Statements for the last three fiscal years ended December 31, 2025.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General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Lincoln Educational Services Corporation and its subsidiaries (collectively, the “Company,” “we,” “our,” and “us,” as applicable) provide diversified career-oriented postsecondary education to recent high school graduates and working adults. The Company, which currently operates 22 campuses in 12 states, recently entered into leases for three new campuses: one in Hicksville, New York, with programs expected to begin by the end of 2026; one in Rowlett, Texas, a northern suburb of Dallas, with programs expected to begin in the first quarter of 2027; and one in Suitland, Maryland, located in the Washington, D.C. metropolitan area with programs expected to begin in the fourth quarter of 2027. The Company offers programs in skilled trades, automotive, health sciences and information technology. The schools operate under the brands Lincoln Technical Institute, Lincoln College of Technology, and Nashville Auto Diesel College.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Most of the Company’s campuses serve major metropolitan markets and each typically offers courses in multiple areas of study. Five of our campuses are destination schools, which attract students from across the United States and, in some cases, from abroad. The Company’s other campuses primarily attract students from their local communities and surrounding areas. All of our campuses are nationally accredited and are eligible to participate in federal financial aid programs administered by the U.S. Department of Education (the "DOE”) and applicable state education agencies and accrediting commissions, which allow students to apply for and access federal student loans as well as other forms of financial aid. The Company was incorporated in New Jersey in 2003 as the successor-in-interest to various acquired schools including Lincoln Technical Institute, Inc., which opened its first campus in Newark, New Jersey in 1946.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Critical Accounting Policies and Estimates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For a description of our critical accounting policies and estimates, refer to “Management’s Discussion and Analysis of Financial Condition and Results of Operations – Critical Accounting Policies and Estimates” and Note 1 to the Consolidated Financial Statements included in our Form 10-K and Note 1 to the Condensed Consolidated Financial Statements included in this Form 10-Q.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Effect of Inflation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Inflation has not had a material effect on our operations.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Business Strategy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We strive to strengthen our position as a leading provider of career</w:t>
        <w:noBreakHyphen/>
        <w:t xml:space="preserve">oriented postsecondary education by continuing to pursue the following strategy: </w:t>
      </w:r>
    </w:p>
    <w:p>
      <w:pPr>
        <w:pStyle w:val="TextBody"/>
        <w:bidi w:val="0"/>
        <w:spacing w:before="0" w:after="0"/>
        <w:jc w:val="left"/>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b/>
          <w:i/>
          <w:sz w:val="20"/>
        </w:rPr>
        <w:t>Expand Geographically.</w:t>
      </w:r>
      <w:r>
        <w:rPr>
          <w:rFonts w:ascii="Times New Roman" w:hAnsi="Times New Roman"/>
          <w:sz w:val="20"/>
        </w:rPr>
        <w:t xml:space="preserve"> We plan to open new campuses and enter new markets using existing resources or acquisitions. We opened a new campus in Houston, Texas in August 2025</w:t>
      </w:r>
      <w:r>
        <w:rPr>
          <w:rFonts w:ascii="Times New Roman" w:hAnsi="Times New Roman"/>
          <w:color w:val="0000FF"/>
          <w:sz w:val="20"/>
        </w:rPr>
        <w:t xml:space="preserve">, </w:t>
      </w:r>
      <w:r>
        <w:rPr>
          <w:rFonts w:ascii="Times New Roman" w:hAnsi="Times New Roman"/>
          <w:sz w:val="20"/>
        </w:rPr>
        <w:t xml:space="preserve">and have signed leases for new campuses in Hicksville, New York, where programs are expected to begin by the end of 2026; Rowlett, Texas, which is expected to open in the first quarter of 2027, and Suitland, Maryland, with programs expected to begin in the fourth quarter of 2027. We continue to evaluate opportunities to expand our footprint in markets that support our long-term growth objectives.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2286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b/>
          <w:i/>
          <w:sz w:val="20"/>
        </w:rPr>
        <w:t>Replicate Programs and Expand Existing Areas of Study.</w:t>
      </w:r>
      <w:r>
        <w:rPr>
          <w:rFonts w:ascii="Times New Roman" w:hAnsi="Times New Roman"/>
          <w:sz w:val="20"/>
        </w:rPr>
        <w:t xml:space="preserve"> We are expanding our program portfolio by introducing in-demand programs across locations. This approach allows us to serve local market needs while leveraging our existing curriculum, faculty expertise, and infrastructure.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2286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b/>
          <w:i/>
          <w:sz w:val="20"/>
        </w:rPr>
        <w:t>Increase Operating Efficiency</w:t>
      </w:r>
      <w:r>
        <w:rPr>
          <w:rFonts w:ascii="Times New Roman" w:hAnsi="Times New Roman"/>
          <w:sz w:val="20"/>
        </w:rPr>
        <w:t xml:space="preserve">. We aim to improve margins and scalability by centralizing operations, standardizing curricula, and leveraging technology such as artificial intelligence to streamline campus functions. By continuing to simplify and standardize our operating model, we believe we can enhance efficiency and support sustainable growth across our organization.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2286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b/>
          <w:i/>
          <w:sz w:val="20"/>
        </w:rPr>
        <w:t>Maximize Utilization of Existing Facilities.</w:t>
      </w:r>
      <w:r>
        <w:rPr>
          <w:rFonts w:ascii="Times New Roman" w:hAnsi="Times New Roman"/>
          <w:sz w:val="20"/>
        </w:rPr>
        <w:t xml:space="preserve"> We focus on increasing facility usage through enrollment growth, the introduction of new programs, and expanded industry partnerships. In addition, our hybrid teaching model provides increased flexibility to align our real estate footprint with evolving instructional needs.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2286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b/>
          <w:i/>
          <w:sz w:val="20"/>
        </w:rPr>
        <w:t xml:space="preserve">Expand Teaching Platform. </w:t>
      </w:r>
      <w:r>
        <w:rPr>
          <w:rFonts w:ascii="Times New Roman" w:hAnsi="Times New Roman"/>
          <w:sz w:val="20"/>
        </w:rPr>
        <w:t xml:space="preserve">We are transitioning to a hybrid teaching platform, Lincoln 10.0, the implementation of which has been substantially completed and is expected to be finalized by the end of 2026 for all planned programs, except for our Licensed Practical Nurse program which should be completed by 2027. This platform is designed to provide greater flexibility, efficiency, and value to students, while supporting a more scalable and standardized academic delivery model.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2286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Recent and Planned Campus Openings</w:t>
      </w:r>
      <w:r>
        <w:rPr>
          <w:rFonts w:ascii="Times New Roman" w:hAnsi="Times New Roman"/>
          <w:sz w:val="20"/>
        </w:rPr>
        <w:t xml:space="preserve"> </w:t>
      </w:r>
    </w:p>
    <w:p>
      <w:pPr>
        <w:pStyle w:val="TextBody"/>
        <w:bidi w:val="0"/>
        <w:spacing w:before="0" w:after="0"/>
        <w:jc w:val="left"/>
        <w:rPr/>
      </w:pPr>
      <w:r>
        <w:rPr/>
        <w:t xml:space="preserve">  </w:t>
      </w:r>
    </w:p>
    <w:tbl>
      <w:tblPr>
        <w:tblW w:w="6544" w:type="dxa"/>
        <w:jc w:val="left"/>
        <w:tblInd w:w="0" w:type="dxa"/>
        <w:tblLayout w:type="fixed"/>
        <w:tblCellMar>
          <w:top w:w="0" w:type="dxa"/>
          <w:left w:w="0" w:type="dxa"/>
          <w:bottom w:w="0" w:type="dxa"/>
          <w:right w:w="0" w:type="dxa"/>
        </w:tblCellMar>
      </w:tblPr>
      <w:tblGrid>
        <w:gridCol w:w="1681"/>
        <w:gridCol w:w="1771"/>
        <w:gridCol w:w="1051"/>
        <w:gridCol w:w="2041"/>
      </w:tblGrid>
      <w:tr>
        <w:trPr/>
        <w:tc>
          <w:tcPr>
            <w:tcW w:w="1681" w:type="dxa"/>
            <w:tcBorders/>
            <w:vAlign w:val="center"/>
          </w:tcPr>
          <w:p>
            <w:pPr>
              <w:pStyle w:val="TableContents"/>
              <w:bidi w:val="0"/>
              <w:spacing w:before="0" w:after="283"/>
              <w:jc w:val="left"/>
              <w:rPr/>
            </w:pPr>
            <w:r>
              <w:rPr/>
              <w:t xml:space="preserve">  </w:t>
            </w:r>
          </w:p>
        </w:tc>
        <w:tc>
          <w:tcPr>
            <w:tcW w:w="1771" w:type="dxa"/>
            <w:tcBorders/>
            <w:vAlign w:val="center"/>
          </w:tcPr>
          <w:p>
            <w:pPr>
              <w:pStyle w:val="TableContents"/>
              <w:bidi w:val="0"/>
              <w:spacing w:before="0" w:after="283"/>
              <w:jc w:val="left"/>
              <w:rPr/>
            </w:pPr>
            <w:r>
              <w:rPr/>
              <w:t xml:space="preserve">  </w:t>
            </w:r>
          </w:p>
        </w:tc>
        <w:tc>
          <w:tcPr>
            <w:tcW w:w="1051" w:type="dxa"/>
            <w:tcBorders/>
            <w:vAlign w:val="center"/>
          </w:tcPr>
          <w:p>
            <w:pPr>
              <w:pStyle w:val="TableContents"/>
              <w:bidi w:val="0"/>
              <w:spacing w:before="0" w:after="283"/>
              <w:jc w:val="left"/>
              <w:rPr/>
            </w:pPr>
            <w:r>
              <w:rPr/>
              <w:t xml:space="preserve">  </w:t>
            </w:r>
          </w:p>
        </w:tc>
        <w:tc>
          <w:tcPr>
            <w:tcW w:w="2041" w:type="dxa"/>
            <w:tcBorders/>
            <w:vAlign w:val="center"/>
          </w:tcPr>
          <w:p>
            <w:pPr>
              <w:pStyle w:val="TableContents"/>
              <w:bidi w:val="0"/>
              <w:spacing w:before="0" w:after="283"/>
              <w:jc w:val="left"/>
              <w:rPr/>
            </w:pPr>
            <w:r>
              <w:rPr/>
              <w:t xml:space="preserve">  </w:t>
            </w:r>
          </w:p>
        </w:tc>
      </w:tr>
      <w:tr>
        <w:trPr/>
        <w:tc>
          <w:tcPr>
            <w:tcW w:w="1681" w:type="dxa"/>
            <w:tcBorders>
              <w:bottom w:val="single" w:sz="12" w:space="0" w:color="000000"/>
            </w:tcBorders>
            <w:tcMar>
              <w:bottom w:w="28" w:type="dxa"/>
            </w:tcMar>
            <w:vAlign w:val="center"/>
          </w:tcPr>
          <w:p>
            <w:pPr>
              <w:pStyle w:val="TableContents"/>
              <w:bidi w:val="0"/>
              <w:spacing w:before="0" w:after="0"/>
              <w:jc w:val="left"/>
              <w:rPr/>
            </w:pPr>
            <w:r>
              <w:rPr>
                <w:b/>
                <w:sz w:val="20"/>
              </w:rPr>
              <w:t>Campus Location</w:t>
            </w:r>
            <w:r>
              <w:rPr/>
              <w:t xml:space="preserve"> </w:t>
            </w:r>
          </w:p>
        </w:tc>
        <w:tc>
          <w:tcPr>
            <w:tcW w:w="1771" w:type="dxa"/>
            <w:tcBorders>
              <w:bottom w:val="single" w:sz="12" w:space="0" w:color="000000"/>
            </w:tcBorders>
            <w:tcMar>
              <w:bottom w:w="28" w:type="dxa"/>
            </w:tcMar>
            <w:vAlign w:val="center"/>
          </w:tcPr>
          <w:p>
            <w:pPr>
              <w:pStyle w:val="TableContents"/>
              <w:bidi w:val="0"/>
              <w:spacing w:before="0" w:after="0"/>
              <w:jc w:val="left"/>
              <w:rPr/>
            </w:pPr>
            <w:r>
              <w:rPr>
                <w:b/>
                <w:sz w:val="20"/>
              </w:rPr>
              <w:t>Type</w:t>
            </w:r>
            <w:r>
              <w:rPr/>
              <w:t xml:space="preserve"> </w:t>
            </w:r>
          </w:p>
        </w:tc>
        <w:tc>
          <w:tcPr>
            <w:tcW w:w="1051" w:type="dxa"/>
            <w:tcBorders>
              <w:bottom w:val="single" w:sz="12" w:space="0" w:color="000000"/>
            </w:tcBorders>
            <w:tcMar>
              <w:bottom w:w="28" w:type="dxa"/>
            </w:tcMar>
            <w:vAlign w:val="center"/>
          </w:tcPr>
          <w:p>
            <w:pPr>
              <w:pStyle w:val="TableContents"/>
              <w:bidi w:val="0"/>
              <w:spacing w:before="0" w:after="0"/>
              <w:jc w:val="left"/>
              <w:rPr/>
            </w:pPr>
            <w:r>
              <w:rPr>
                <w:b/>
                <w:sz w:val="20"/>
              </w:rPr>
              <w:t>Status</w:t>
            </w:r>
            <w:r>
              <w:rPr/>
              <w:t xml:space="preserve"> </w:t>
            </w:r>
          </w:p>
        </w:tc>
        <w:tc>
          <w:tcPr>
            <w:tcW w:w="2041" w:type="dxa"/>
            <w:tcBorders>
              <w:bottom w:val="single" w:sz="12" w:space="0" w:color="000000"/>
            </w:tcBorders>
            <w:tcMar>
              <w:bottom w:w="28" w:type="dxa"/>
            </w:tcMar>
            <w:vAlign w:val="center"/>
          </w:tcPr>
          <w:p>
            <w:pPr>
              <w:pStyle w:val="TableContents"/>
              <w:bidi w:val="0"/>
              <w:spacing w:before="0" w:after="0"/>
              <w:jc w:val="left"/>
              <w:rPr/>
            </w:pPr>
            <w:r>
              <w:rPr>
                <w:b/>
                <w:sz w:val="20"/>
              </w:rPr>
              <w:t>Opening Date</w:t>
            </w:r>
            <w:r>
              <w:rPr/>
              <w:t xml:space="preserve"> </w:t>
            </w:r>
          </w:p>
        </w:tc>
      </w:tr>
      <w:tr>
        <w:trPr/>
        <w:tc>
          <w:tcPr>
            <w:tcW w:w="1681" w:type="dxa"/>
            <w:tcBorders/>
            <w:vAlign w:val="center"/>
          </w:tcPr>
          <w:p>
            <w:pPr>
              <w:pStyle w:val="TableContents"/>
              <w:bidi w:val="0"/>
              <w:spacing w:before="0" w:after="0"/>
              <w:jc w:val="left"/>
              <w:rPr>
                <w:sz w:val="20"/>
              </w:rPr>
            </w:pPr>
            <w:r>
              <w:rPr>
                <w:sz w:val="20"/>
              </w:rPr>
              <w:t xml:space="preserve">Nashville, TN </w:t>
            </w:r>
          </w:p>
        </w:tc>
        <w:tc>
          <w:tcPr>
            <w:tcW w:w="1771" w:type="dxa"/>
            <w:tcBorders/>
            <w:vAlign w:val="center"/>
          </w:tcPr>
          <w:p>
            <w:pPr>
              <w:pStyle w:val="TableContents"/>
              <w:bidi w:val="0"/>
              <w:spacing w:before="0" w:after="0"/>
              <w:jc w:val="left"/>
              <w:rPr/>
            </w:pPr>
            <w:r>
              <w:rPr>
                <w:sz w:val="20"/>
              </w:rPr>
              <w:t>Campus Relocation</w:t>
            </w:r>
            <w:r>
              <w:rPr/>
              <w:t xml:space="preserve"> </w:t>
            </w:r>
          </w:p>
        </w:tc>
        <w:tc>
          <w:tcPr>
            <w:tcW w:w="1051" w:type="dxa"/>
            <w:tcBorders/>
            <w:vAlign w:val="center"/>
          </w:tcPr>
          <w:p>
            <w:pPr>
              <w:pStyle w:val="TableContents"/>
              <w:bidi w:val="0"/>
              <w:spacing w:before="0" w:after="0"/>
              <w:jc w:val="left"/>
              <w:rPr/>
            </w:pPr>
            <w:r>
              <w:rPr>
                <w:sz w:val="20"/>
              </w:rPr>
              <w:t>Opened</w:t>
            </w:r>
            <w:r>
              <w:rPr/>
              <w:t xml:space="preserve"> </w:t>
            </w:r>
          </w:p>
        </w:tc>
        <w:tc>
          <w:tcPr>
            <w:tcW w:w="2041" w:type="dxa"/>
            <w:tcBorders/>
            <w:vAlign w:val="center"/>
          </w:tcPr>
          <w:p>
            <w:pPr>
              <w:pStyle w:val="TableContents"/>
              <w:bidi w:val="0"/>
              <w:spacing w:before="0" w:after="0"/>
              <w:jc w:val="left"/>
              <w:rPr/>
            </w:pPr>
            <w:r>
              <w:rPr>
                <w:sz w:val="20"/>
              </w:rPr>
              <w:t>March 2025</w:t>
            </w:r>
            <w:r>
              <w:rPr/>
              <w:t xml:space="preserve"> </w:t>
            </w:r>
          </w:p>
        </w:tc>
      </w:tr>
      <w:tr>
        <w:trPr/>
        <w:tc>
          <w:tcPr>
            <w:tcW w:w="1681" w:type="dxa"/>
            <w:tcBorders/>
            <w:shd w:fill="CCEEFF" w:val="clear"/>
            <w:vAlign w:val="center"/>
          </w:tcPr>
          <w:p>
            <w:pPr>
              <w:pStyle w:val="TableContents"/>
              <w:bidi w:val="0"/>
              <w:spacing w:before="0" w:after="0"/>
              <w:jc w:val="left"/>
              <w:rPr/>
            </w:pPr>
            <w:r>
              <w:rPr>
                <w:sz w:val="20"/>
              </w:rPr>
              <w:t>Levittown, PA</w:t>
            </w:r>
            <w:r>
              <w:rPr/>
              <w:t xml:space="preserve"> </w:t>
            </w:r>
          </w:p>
        </w:tc>
        <w:tc>
          <w:tcPr>
            <w:tcW w:w="1771" w:type="dxa"/>
            <w:tcBorders/>
            <w:shd w:fill="CCEEFF" w:val="clear"/>
            <w:vAlign w:val="center"/>
          </w:tcPr>
          <w:p>
            <w:pPr>
              <w:pStyle w:val="TableContents"/>
              <w:bidi w:val="0"/>
              <w:spacing w:before="0" w:after="0"/>
              <w:jc w:val="left"/>
              <w:rPr/>
            </w:pPr>
            <w:r>
              <w:rPr>
                <w:sz w:val="20"/>
              </w:rPr>
              <w:t>Campus Relocation</w:t>
            </w:r>
            <w:r>
              <w:rPr/>
              <w:t xml:space="preserve"> </w:t>
            </w:r>
          </w:p>
        </w:tc>
        <w:tc>
          <w:tcPr>
            <w:tcW w:w="1051" w:type="dxa"/>
            <w:tcBorders/>
            <w:shd w:fill="CCEEFF" w:val="clear"/>
            <w:vAlign w:val="center"/>
          </w:tcPr>
          <w:p>
            <w:pPr>
              <w:pStyle w:val="TableContents"/>
              <w:bidi w:val="0"/>
              <w:spacing w:before="0" w:after="0"/>
              <w:jc w:val="left"/>
              <w:rPr/>
            </w:pPr>
            <w:r>
              <w:rPr>
                <w:sz w:val="20"/>
              </w:rPr>
              <w:t>Opened</w:t>
            </w:r>
            <w:r>
              <w:rPr/>
              <w:t xml:space="preserve"> </w:t>
            </w:r>
          </w:p>
        </w:tc>
        <w:tc>
          <w:tcPr>
            <w:tcW w:w="2041" w:type="dxa"/>
            <w:tcBorders/>
            <w:shd w:fill="CCEEFF" w:val="clear"/>
            <w:vAlign w:val="center"/>
          </w:tcPr>
          <w:p>
            <w:pPr>
              <w:pStyle w:val="TableContents"/>
              <w:bidi w:val="0"/>
              <w:spacing w:before="0" w:after="0"/>
              <w:jc w:val="left"/>
              <w:rPr/>
            </w:pPr>
            <w:r>
              <w:rPr>
                <w:sz w:val="20"/>
              </w:rPr>
              <w:t>August 2025</w:t>
            </w:r>
            <w:r>
              <w:rPr/>
              <w:t xml:space="preserve"> </w:t>
            </w:r>
          </w:p>
        </w:tc>
      </w:tr>
      <w:tr>
        <w:trPr/>
        <w:tc>
          <w:tcPr>
            <w:tcW w:w="1681" w:type="dxa"/>
            <w:tcBorders/>
            <w:vAlign w:val="center"/>
          </w:tcPr>
          <w:p>
            <w:pPr>
              <w:pStyle w:val="TableContents"/>
              <w:bidi w:val="0"/>
              <w:spacing w:before="0" w:after="0"/>
              <w:jc w:val="left"/>
              <w:rPr/>
            </w:pPr>
            <w:r>
              <w:rPr>
                <w:sz w:val="20"/>
              </w:rPr>
              <w:t>Houston, TX</w:t>
            </w:r>
            <w:r>
              <w:rPr/>
              <w:t xml:space="preserve"> </w:t>
            </w:r>
          </w:p>
        </w:tc>
        <w:tc>
          <w:tcPr>
            <w:tcW w:w="1771" w:type="dxa"/>
            <w:tcBorders/>
            <w:vAlign w:val="center"/>
          </w:tcPr>
          <w:p>
            <w:pPr>
              <w:pStyle w:val="TableContents"/>
              <w:bidi w:val="0"/>
              <w:spacing w:before="0" w:after="0"/>
              <w:jc w:val="left"/>
              <w:rPr/>
            </w:pPr>
            <w:r>
              <w:rPr>
                <w:sz w:val="20"/>
              </w:rPr>
              <w:t>New Campus</w:t>
            </w:r>
            <w:r>
              <w:rPr/>
              <w:t xml:space="preserve"> </w:t>
            </w:r>
          </w:p>
        </w:tc>
        <w:tc>
          <w:tcPr>
            <w:tcW w:w="1051" w:type="dxa"/>
            <w:tcBorders/>
            <w:vAlign w:val="center"/>
          </w:tcPr>
          <w:p>
            <w:pPr>
              <w:pStyle w:val="TableContents"/>
              <w:bidi w:val="0"/>
              <w:spacing w:before="0" w:after="0"/>
              <w:jc w:val="left"/>
              <w:rPr/>
            </w:pPr>
            <w:r>
              <w:rPr>
                <w:sz w:val="20"/>
              </w:rPr>
              <w:t>Opened</w:t>
            </w:r>
            <w:r>
              <w:rPr/>
              <w:t xml:space="preserve"> </w:t>
            </w:r>
          </w:p>
        </w:tc>
        <w:tc>
          <w:tcPr>
            <w:tcW w:w="2041" w:type="dxa"/>
            <w:tcBorders/>
            <w:vAlign w:val="center"/>
          </w:tcPr>
          <w:p>
            <w:pPr>
              <w:pStyle w:val="TableContents"/>
              <w:bidi w:val="0"/>
              <w:spacing w:before="0" w:after="0"/>
              <w:jc w:val="left"/>
              <w:rPr/>
            </w:pPr>
            <w:r>
              <w:rPr>
                <w:sz w:val="20"/>
              </w:rPr>
              <w:t>August 2025</w:t>
            </w:r>
            <w:r>
              <w:rPr/>
              <w:t xml:space="preserve"> </w:t>
            </w:r>
          </w:p>
        </w:tc>
      </w:tr>
      <w:tr>
        <w:trPr/>
        <w:tc>
          <w:tcPr>
            <w:tcW w:w="1681" w:type="dxa"/>
            <w:tcBorders/>
            <w:shd w:fill="CCEEFF" w:val="clear"/>
            <w:vAlign w:val="center"/>
          </w:tcPr>
          <w:p>
            <w:pPr>
              <w:pStyle w:val="TableContents"/>
              <w:bidi w:val="0"/>
              <w:spacing w:before="0" w:after="0"/>
              <w:jc w:val="left"/>
              <w:rPr/>
            </w:pPr>
            <w:r>
              <w:rPr>
                <w:sz w:val="20"/>
              </w:rPr>
              <w:t>Hicksville, NY</w:t>
            </w:r>
            <w:r>
              <w:rPr/>
              <w:t xml:space="preserve"> </w:t>
            </w:r>
          </w:p>
        </w:tc>
        <w:tc>
          <w:tcPr>
            <w:tcW w:w="1771" w:type="dxa"/>
            <w:tcBorders/>
            <w:shd w:fill="CCEEFF" w:val="clear"/>
            <w:vAlign w:val="center"/>
          </w:tcPr>
          <w:p>
            <w:pPr>
              <w:pStyle w:val="TableContents"/>
              <w:bidi w:val="0"/>
              <w:spacing w:before="0" w:after="0"/>
              <w:jc w:val="left"/>
              <w:rPr/>
            </w:pPr>
            <w:r>
              <w:rPr>
                <w:sz w:val="20"/>
              </w:rPr>
              <w:t>New Campus</w:t>
            </w:r>
            <w:r>
              <w:rPr/>
              <w:t xml:space="preserve"> </w:t>
            </w:r>
          </w:p>
        </w:tc>
        <w:tc>
          <w:tcPr>
            <w:tcW w:w="1051" w:type="dxa"/>
            <w:tcBorders/>
            <w:shd w:fill="CCEEFF" w:val="clear"/>
            <w:vAlign w:val="center"/>
          </w:tcPr>
          <w:p>
            <w:pPr>
              <w:pStyle w:val="TableContents"/>
              <w:bidi w:val="0"/>
              <w:spacing w:before="0" w:after="0"/>
              <w:jc w:val="left"/>
              <w:rPr/>
            </w:pPr>
            <w:r>
              <w:rPr>
                <w:sz w:val="20"/>
              </w:rPr>
              <w:t>In Progress</w:t>
            </w:r>
            <w:r>
              <w:rPr/>
              <w:t xml:space="preserve"> </w:t>
            </w:r>
          </w:p>
        </w:tc>
        <w:tc>
          <w:tcPr>
            <w:tcW w:w="2041" w:type="dxa"/>
            <w:tcBorders/>
            <w:shd w:fill="CCEEFF" w:val="clear"/>
            <w:vAlign w:val="center"/>
          </w:tcPr>
          <w:p>
            <w:pPr>
              <w:pStyle w:val="TableContents"/>
              <w:bidi w:val="0"/>
              <w:spacing w:before="0" w:after="0"/>
              <w:jc w:val="left"/>
              <w:rPr/>
            </w:pPr>
            <w:r>
              <w:rPr>
                <w:sz w:val="20"/>
              </w:rPr>
              <w:t>By the end of 2026</w:t>
            </w:r>
            <w:r>
              <w:rPr/>
              <w:t xml:space="preserve"> </w:t>
            </w:r>
          </w:p>
        </w:tc>
      </w:tr>
      <w:tr>
        <w:trPr/>
        <w:tc>
          <w:tcPr>
            <w:tcW w:w="1681" w:type="dxa"/>
            <w:tcBorders/>
            <w:vAlign w:val="center"/>
          </w:tcPr>
          <w:p>
            <w:pPr>
              <w:pStyle w:val="TableContents"/>
              <w:bidi w:val="0"/>
              <w:spacing w:before="0" w:after="0"/>
              <w:jc w:val="left"/>
              <w:rPr/>
            </w:pPr>
            <w:r>
              <w:rPr>
                <w:sz w:val="20"/>
              </w:rPr>
              <w:t>Rowlett, TX</w:t>
            </w:r>
            <w:r>
              <w:rPr/>
              <w:t xml:space="preserve"> </w:t>
            </w:r>
          </w:p>
        </w:tc>
        <w:tc>
          <w:tcPr>
            <w:tcW w:w="1771" w:type="dxa"/>
            <w:tcBorders/>
            <w:vAlign w:val="center"/>
          </w:tcPr>
          <w:p>
            <w:pPr>
              <w:pStyle w:val="TableContents"/>
              <w:bidi w:val="0"/>
              <w:spacing w:before="0" w:after="0"/>
              <w:jc w:val="left"/>
              <w:rPr/>
            </w:pPr>
            <w:r>
              <w:rPr>
                <w:sz w:val="20"/>
              </w:rPr>
              <w:t>New Campus</w:t>
            </w:r>
            <w:r>
              <w:rPr/>
              <w:t xml:space="preserve"> </w:t>
            </w:r>
          </w:p>
        </w:tc>
        <w:tc>
          <w:tcPr>
            <w:tcW w:w="1051" w:type="dxa"/>
            <w:tcBorders/>
            <w:vAlign w:val="center"/>
          </w:tcPr>
          <w:p>
            <w:pPr>
              <w:pStyle w:val="TableContents"/>
              <w:bidi w:val="0"/>
              <w:spacing w:before="0" w:after="0"/>
              <w:jc w:val="left"/>
              <w:rPr/>
            </w:pPr>
            <w:r>
              <w:rPr>
                <w:sz w:val="20"/>
              </w:rPr>
              <w:t>In Progress</w:t>
            </w:r>
            <w:r>
              <w:rPr/>
              <w:t xml:space="preserve"> </w:t>
            </w:r>
          </w:p>
        </w:tc>
        <w:tc>
          <w:tcPr>
            <w:tcW w:w="2041" w:type="dxa"/>
            <w:tcBorders/>
            <w:vAlign w:val="center"/>
          </w:tcPr>
          <w:p>
            <w:pPr>
              <w:pStyle w:val="TableContents"/>
              <w:bidi w:val="0"/>
              <w:spacing w:before="0" w:after="0"/>
              <w:jc w:val="left"/>
              <w:rPr/>
            </w:pPr>
            <w:r>
              <w:rPr>
                <w:sz w:val="20"/>
              </w:rPr>
              <w:t>First quarter of 2027</w:t>
            </w:r>
            <w:r>
              <w:rPr/>
              <w:t xml:space="preserve"> </w:t>
            </w:r>
          </w:p>
        </w:tc>
      </w:tr>
      <w:tr>
        <w:trPr/>
        <w:tc>
          <w:tcPr>
            <w:tcW w:w="1681" w:type="dxa"/>
            <w:tcBorders/>
            <w:shd w:fill="CCEEFF" w:val="clear"/>
            <w:vAlign w:val="center"/>
          </w:tcPr>
          <w:p>
            <w:pPr>
              <w:pStyle w:val="TableContents"/>
              <w:bidi w:val="0"/>
              <w:spacing w:before="0" w:after="0"/>
              <w:jc w:val="left"/>
              <w:rPr/>
            </w:pPr>
            <w:r>
              <w:rPr>
                <w:sz w:val="20"/>
              </w:rPr>
              <w:t>Suitland, MD</w:t>
            </w:r>
            <w:r>
              <w:rPr/>
              <w:t xml:space="preserve"> </w:t>
            </w:r>
          </w:p>
        </w:tc>
        <w:tc>
          <w:tcPr>
            <w:tcW w:w="1771" w:type="dxa"/>
            <w:tcBorders/>
            <w:shd w:fill="CCEEFF" w:val="clear"/>
            <w:vAlign w:val="center"/>
          </w:tcPr>
          <w:p>
            <w:pPr>
              <w:pStyle w:val="TableContents"/>
              <w:bidi w:val="0"/>
              <w:spacing w:before="0" w:after="0"/>
              <w:jc w:val="left"/>
              <w:rPr/>
            </w:pPr>
            <w:r>
              <w:rPr>
                <w:sz w:val="20"/>
              </w:rPr>
              <w:t>New Campus</w:t>
            </w:r>
            <w:r>
              <w:rPr/>
              <w:t xml:space="preserve"> </w:t>
            </w:r>
          </w:p>
        </w:tc>
        <w:tc>
          <w:tcPr>
            <w:tcW w:w="1051" w:type="dxa"/>
            <w:tcBorders/>
            <w:shd w:fill="CCEEFF" w:val="clear"/>
            <w:vAlign w:val="center"/>
          </w:tcPr>
          <w:p>
            <w:pPr>
              <w:pStyle w:val="TableContents"/>
              <w:bidi w:val="0"/>
              <w:spacing w:before="0" w:after="0"/>
              <w:jc w:val="left"/>
              <w:rPr/>
            </w:pPr>
            <w:r>
              <w:rPr>
                <w:sz w:val="20"/>
              </w:rPr>
              <w:t>In Progress</w:t>
            </w:r>
            <w:r>
              <w:rPr/>
              <w:t xml:space="preserve"> </w:t>
            </w:r>
          </w:p>
        </w:tc>
        <w:tc>
          <w:tcPr>
            <w:tcW w:w="2041" w:type="dxa"/>
            <w:tcBorders/>
            <w:shd w:fill="CCEEFF" w:val="clear"/>
            <w:vAlign w:val="center"/>
          </w:tcPr>
          <w:p>
            <w:pPr>
              <w:pStyle w:val="TableContents"/>
              <w:bidi w:val="0"/>
              <w:spacing w:before="0" w:after="0"/>
              <w:jc w:val="left"/>
              <w:rPr/>
            </w:pPr>
            <w:r>
              <w:rPr>
                <w:sz w:val="20"/>
              </w:rPr>
              <w:t>Fourth quarter of 2027</w:t>
            </w:r>
            <w:r>
              <w:rPr/>
              <w:t xml:space="preserv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Results of Operations for the Three and Six Months Ended June 30, 2026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selected Condensed Consolidated Statements of Operations data as a percentage of revenues for each of the periods indicated: </w:t>
      </w:r>
    </w:p>
    <w:p>
      <w:pPr>
        <w:pStyle w:val="TextBody"/>
        <w:bidi w:val="0"/>
        <w:spacing w:before="0" w:after="0"/>
        <w:jc w:val="left"/>
        <w:rPr/>
      </w:pPr>
      <w:r>
        <w:rPr/>
        <w:t xml:space="preserve">  </w:t>
      </w:r>
    </w:p>
    <w:tbl>
      <w:tblPr>
        <w:tblW w:w="8977" w:type="dxa"/>
        <w:jc w:val="left"/>
        <w:tblInd w:w="0" w:type="dxa"/>
        <w:tblLayout w:type="fixed"/>
        <w:tblCellMar>
          <w:top w:w="0" w:type="dxa"/>
          <w:left w:w="0" w:type="dxa"/>
          <w:bottom w:w="0" w:type="dxa"/>
          <w:right w:w="0" w:type="dxa"/>
        </w:tblCellMar>
      </w:tblPr>
      <w:tblGrid>
        <w:gridCol w:w="4525"/>
        <w:gridCol w:w="90"/>
        <w:gridCol w:w="92"/>
        <w:gridCol w:w="606"/>
        <w:gridCol w:w="329"/>
        <w:gridCol w:w="92"/>
        <w:gridCol w:w="92"/>
        <w:gridCol w:w="606"/>
        <w:gridCol w:w="320"/>
        <w:gridCol w:w="90"/>
        <w:gridCol w:w="90"/>
        <w:gridCol w:w="590"/>
        <w:gridCol w:w="320"/>
        <w:gridCol w:w="90"/>
        <w:gridCol w:w="90"/>
        <w:gridCol w:w="590"/>
        <w:gridCol w:w="365"/>
      </w:tblGrid>
      <w:tr>
        <w:trPr/>
        <w:tc>
          <w:tcPr>
            <w:tcW w:w="4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4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4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817" w:type="dxa"/>
            <w:gridSpan w:val="6"/>
            <w:tcBorders>
              <w:bottom w:val="single" w:sz="12" w:space="0" w:color="000000"/>
            </w:tcBorders>
            <w:tcMar>
              <w:bottom w:w="28" w:type="dxa"/>
            </w:tcMar>
            <w:vAlign w:val="center"/>
          </w:tcPr>
          <w:p>
            <w:pPr>
              <w:pStyle w:val="TableContents"/>
              <w:bidi w:val="0"/>
              <w:spacing w:before="0" w:after="283"/>
              <w:jc w:val="center"/>
              <w:rPr>
                <w:b/>
                <w:spacing w:val="0"/>
                <w:sz w:val="20"/>
              </w:rPr>
            </w:pPr>
            <w:r>
              <w:rPr>
                <w:b/>
                <w:spacing w:val="0"/>
                <w:sz w:val="20"/>
              </w:rPr>
              <w:t>Three Months Ended</w:t>
              <w:br/>
              <w:t>June 30,</w:t>
            </w:r>
          </w:p>
        </w:tc>
        <w:tc>
          <w:tcPr>
            <w:tcW w:w="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80" w:type="dxa"/>
            <w:gridSpan w:val="5"/>
            <w:tcBorders>
              <w:bottom w:val="single" w:sz="12" w:space="0" w:color="000000"/>
            </w:tcBorders>
            <w:tcMar>
              <w:bottom w:w="28" w:type="dxa"/>
            </w:tcMar>
            <w:vAlign w:val="center"/>
          </w:tcPr>
          <w:p>
            <w:pPr>
              <w:pStyle w:val="TableContents"/>
              <w:bidi w:val="0"/>
              <w:spacing w:before="0" w:after="283"/>
              <w:jc w:val="center"/>
              <w:rPr>
                <w:b/>
                <w:spacing w:val="0"/>
                <w:sz w:val="20"/>
              </w:rPr>
            </w:pPr>
            <w:r>
              <w:rPr>
                <w:b/>
                <w:spacing w:val="0"/>
                <w:sz w:val="20"/>
              </w:rPr>
              <w:t>Six Months Ended </w:t>
              <w:br/>
              <w:t>June 30,</w:t>
            </w:r>
          </w:p>
        </w:tc>
        <w:tc>
          <w:tcPr>
            <w:tcW w:w="365" w:type="dxa"/>
            <w:tcBorders/>
            <w:vAlign w:val="center"/>
          </w:tcPr>
          <w:p>
            <w:pPr>
              <w:pStyle w:val="TableContents"/>
              <w:bidi w:val="0"/>
              <w:spacing w:before="0" w:after="283"/>
              <w:jc w:val="center"/>
              <w:rPr/>
            </w:pPr>
            <w:r>
              <w:rPr/>
              <w:t> </w:t>
            </w:r>
          </w:p>
        </w:tc>
      </w:tr>
      <w:tr>
        <w:trPr/>
        <w:tc>
          <w:tcPr>
            <w:tcW w:w="4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2"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6"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329" w:type="dxa"/>
            <w:tcBorders/>
            <w:vAlign w:val="center"/>
          </w:tcPr>
          <w:p>
            <w:pPr>
              <w:pStyle w:val="TableContents"/>
              <w:bidi w:val="0"/>
              <w:spacing w:before="0" w:after="283"/>
              <w:jc w:val="center"/>
              <w:rPr/>
            </w:pPr>
            <w:r>
              <w:rPr/>
              <w:t> </w:t>
            </w:r>
          </w:p>
        </w:tc>
        <w:tc>
          <w:tcPr>
            <w:tcW w:w="92" w:type="dxa"/>
            <w:tcBorders/>
            <w:vAlign w:val="center"/>
          </w:tcPr>
          <w:p>
            <w:pPr>
              <w:pStyle w:val="TableContents"/>
              <w:bidi w:val="0"/>
              <w:spacing w:before="0" w:after="283"/>
              <w:jc w:val="center"/>
              <w:rPr/>
            </w:pPr>
            <w:r>
              <w:rPr/>
              <w:t> </w:t>
            </w:r>
          </w:p>
        </w:tc>
        <w:tc>
          <w:tcPr>
            <w:tcW w:w="92"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6"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365" w:type="dxa"/>
            <w:tcBorders/>
            <w:vAlign w:val="center"/>
          </w:tcPr>
          <w:p>
            <w:pPr>
              <w:pStyle w:val="TableContents"/>
              <w:bidi w:val="0"/>
              <w:spacing w:before="0" w:after="283"/>
              <w:jc w:val="center"/>
              <w:rPr/>
            </w:pPr>
            <w:r>
              <w:rPr/>
              <w:t> </w:t>
            </w:r>
          </w:p>
        </w:tc>
      </w:tr>
      <w:tr>
        <w:trPr/>
        <w:tc>
          <w:tcPr>
            <w:tcW w:w="4525" w:type="dxa"/>
            <w:tcBorders/>
            <w:shd w:fill="CCEEFF" w:val="clear"/>
            <w:vAlign w:val="center"/>
          </w:tcPr>
          <w:p>
            <w:pPr>
              <w:pStyle w:val="TableContents"/>
              <w:bidi w:val="0"/>
              <w:spacing w:before="0" w:after="0"/>
              <w:jc w:val="left"/>
              <w:rPr/>
            </w:pPr>
            <w:r>
              <w:rPr/>
              <w:t xml:space="preserve">Revenue </w:t>
            </w:r>
          </w:p>
        </w:tc>
        <w:tc>
          <w:tcPr>
            <w:tcW w:w="90" w:type="dxa"/>
            <w:tcBorders/>
            <w:shd w:fill="CCEEFF" w:val="clear"/>
            <w:vAlign w:val="center"/>
          </w:tcPr>
          <w:p>
            <w:pPr>
              <w:pStyle w:val="TableContents"/>
              <w:bidi w:val="0"/>
              <w:spacing w:before="0" w:after="283"/>
              <w:jc w:val="righ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6"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329"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righ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6"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365" w:type="dxa"/>
            <w:tcBorders/>
            <w:shd w:fill="CCEEFF" w:val="clear"/>
            <w:vAlign w:val="center"/>
          </w:tcPr>
          <w:p>
            <w:pPr>
              <w:pStyle w:val="TableContents"/>
              <w:bidi w:val="0"/>
              <w:spacing w:before="0" w:after="283"/>
              <w:jc w:val="left"/>
              <w:rPr/>
            </w:pPr>
            <w:r>
              <w:rPr/>
              <w:t>%</w:t>
            </w:r>
          </w:p>
        </w:tc>
      </w:tr>
      <w:tr>
        <w:trPr/>
        <w:tc>
          <w:tcPr>
            <w:tcW w:w="4525" w:type="dxa"/>
            <w:tcBorders/>
            <w:vAlign w:val="center"/>
          </w:tcPr>
          <w:p>
            <w:pPr>
              <w:pStyle w:val="TableContents"/>
              <w:bidi w:val="0"/>
              <w:spacing w:before="0" w:after="0"/>
              <w:jc w:val="left"/>
              <w:rPr/>
            </w:pPr>
            <w:r>
              <w:rPr/>
              <w:t xml:space="preserve">Costs and expenses: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4525" w:type="dxa"/>
            <w:tcBorders/>
            <w:shd w:fill="CCEEFF" w:val="clear"/>
            <w:vAlign w:val="center"/>
          </w:tcPr>
          <w:p>
            <w:pPr>
              <w:pStyle w:val="TableContents"/>
              <w:bidi w:val="0"/>
              <w:spacing w:before="0" w:after="0"/>
              <w:jc w:val="left"/>
              <w:rPr/>
            </w:pPr>
            <w:r>
              <w:rPr/>
              <w:t xml:space="preserve">Educational services and facilities </w:t>
            </w:r>
          </w:p>
        </w:tc>
        <w:tc>
          <w:tcPr>
            <w:tcW w:w="90"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41.8</w:t>
            </w:r>
          </w:p>
        </w:tc>
        <w:tc>
          <w:tcPr>
            <w:tcW w:w="329"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40.2</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41.2</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40.3</w:t>
            </w:r>
          </w:p>
        </w:tc>
        <w:tc>
          <w:tcPr>
            <w:tcW w:w="365" w:type="dxa"/>
            <w:tcBorders/>
            <w:shd w:fill="CCEEFF" w:val="clear"/>
            <w:vAlign w:val="center"/>
          </w:tcPr>
          <w:p>
            <w:pPr>
              <w:pStyle w:val="TableContents"/>
              <w:bidi w:val="0"/>
              <w:spacing w:before="0" w:after="283"/>
              <w:jc w:val="left"/>
              <w:rPr/>
            </w:pPr>
            <w:r>
              <w:rPr/>
              <w:t>%</w:t>
            </w:r>
          </w:p>
        </w:tc>
      </w:tr>
      <w:tr>
        <w:trPr/>
        <w:tc>
          <w:tcPr>
            <w:tcW w:w="4525" w:type="dxa"/>
            <w:tcBorders/>
            <w:vAlign w:val="center"/>
          </w:tcPr>
          <w:p>
            <w:pPr>
              <w:pStyle w:val="TableContents"/>
              <w:bidi w:val="0"/>
              <w:spacing w:before="0" w:after="0"/>
              <w:jc w:val="left"/>
              <w:rPr/>
            </w:pPr>
            <w:r>
              <w:rPr/>
              <w:t xml:space="preserve">Selling, general and administrative </w:t>
            </w:r>
          </w:p>
        </w:tc>
        <w:tc>
          <w:tcPr>
            <w:tcW w:w="90"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55.9</w:t>
            </w:r>
          </w:p>
        </w:tc>
        <w:tc>
          <w:tcPr>
            <w:tcW w:w="329"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right"/>
              <w:rPr/>
            </w:pPr>
            <w:r>
              <w:rPr/>
              <w:t>57.6</w:t>
            </w:r>
          </w:p>
        </w:tc>
        <w:tc>
          <w:tcPr>
            <w:tcW w:w="32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55.4</w:t>
            </w:r>
          </w:p>
        </w:tc>
        <w:tc>
          <w:tcPr>
            <w:tcW w:w="32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57.3</w:t>
            </w:r>
          </w:p>
        </w:tc>
        <w:tc>
          <w:tcPr>
            <w:tcW w:w="365" w:type="dxa"/>
            <w:tcBorders/>
            <w:vAlign w:val="center"/>
          </w:tcPr>
          <w:p>
            <w:pPr>
              <w:pStyle w:val="TableContents"/>
              <w:bidi w:val="0"/>
              <w:spacing w:before="0" w:after="283"/>
              <w:jc w:val="left"/>
              <w:rPr/>
            </w:pPr>
            <w:r>
              <w:rPr/>
              <w:t>%</w:t>
            </w:r>
          </w:p>
        </w:tc>
      </w:tr>
      <w:tr>
        <w:trPr/>
        <w:tc>
          <w:tcPr>
            <w:tcW w:w="4525" w:type="dxa"/>
            <w:tcBorders/>
            <w:shd w:fill="CCEEFF" w:val="clear"/>
            <w:vAlign w:val="center"/>
          </w:tcPr>
          <w:p>
            <w:pPr>
              <w:pStyle w:val="TableContents"/>
              <w:bidi w:val="0"/>
              <w:spacing w:before="0" w:after="0"/>
              <w:jc w:val="left"/>
              <w:rPr/>
            </w:pPr>
            <w:r>
              <w:rPr/>
              <w:t xml:space="preserve">Gain on sale of assets </w:t>
            </w:r>
          </w:p>
        </w:tc>
        <w:tc>
          <w:tcPr>
            <w:tcW w:w="90" w:type="dxa"/>
            <w:tcBorders/>
            <w:shd w:fill="CCEEFF" w:val="clear"/>
            <w:vAlign w:val="center"/>
          </w:tcPr>
          <w:p>
            <w:pPr>
              <w:pStyle w:val="TableContents"/>
              <w:bidi w:val="0"/>
              <w:spacing w:before="0" w:after="283"/>
              <w:jc w:val="righ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6"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329"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righ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6" w:type="dxa"/>
            <w:tcBorders>
              <w:bottom w:val="single" w:sz="12" w:space="0" w:color="000000"/>
            </w:tcBorders>
            <w:shd w:fill="CCEEFF" w:val="clear"/>
            <w:tcMar>
              <w:bottom w:w="28" w:type="dxa"/>
            </w:tcMar>
            <w:vAlign w:val="center"/>
          </w:tcPr>
          <w:p>
            <w:pPr>
              <w:pStyle w:val="TableContents"/>
              <w:bidi w:val="0"/>
              <w:spacing w:before="0" w:after="283"/>
              <w:jc w:val="right"/>
              <w:rPr/>
            </w:pPr>
            <w:r>
              <w:rPr/>
              <w:t>(0.2</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(0.2</w:t>
            </w:r>
          </w:p>
        </w:tc>
        <w:tc>
          <w:tcPr>
            <w:tcW w:w="365" w:type="dxa"/>
            <w:tcBorders/>
            <w:shd w:fill="CCEEFF" w:val="clear"/>
            <w:vAlign w:val="center"/>
          </w:tcPr>
          <w:p>
            <w:pPr>
              <w:pStyle w:val="TableContents"/>
              <w:bidi w:val="0"/>
              <w:spacing w:before="0" w:after="283"/>
              <w:jc w:val="left"/>
              <w:rPr/>
            </w:pPr>
            <w:r>
              <w:rPr/>
              <w:t>)%</w:t>
            </w:r>
          </w:p>
        </w:tc>
      </w:tr>
      <w:tr>
        <w:trPr/>
        <w:tc>
          <w:tcPr>
            <w:tcW w:w="4525" w:type="dxa"/>
            <w:tcBorders/>
            <w:vAlign w:val="center"/>
          </w:tcPr>
          <w:p>
            <w:pPr>
              <w:pStyle w:val="TableContents"/>
              <w:bidi w:val="0"/>
              <w:spacing w:before="0" w:after="0"/>
              <w:jc w:val="left"/>
              <w:rPr/>
            </w:pPr>
            <w:r>
              <w:rPr/>
              <w:t xml:space="preserve">Total costs and expenses </w:t>
            </w:r>
          </w:p>
        </w:tc>
        <w:tc>
          <w:tcPr>
            <w:tcW w:w="90" w:type="dxa"/>
            <w:tcBorders/>
            <w:vAlign w:val="center"/>
          </w:tcPr>
          <w:p>
            <w:pPr>
              <w:pStyle w:val="TableContents"/>
              <w:bidi w:val="0"/>
              <w:spacing w:before="0" w:after="283"/>
              <w:jc w:val="righ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606" w:type="dxa"/>
            <w:tcBorders>
              <w:bottom w:val="single" w:sz="12" w:space="0" w:color="000000"/>
            </w:tcBorders>
            <w:tcMar>
              <w:bottom w:w="28" w:type="dxa"/>
            </w:tcMar>
            <w:vAlign w:val="center"/>
          </w:tcPr>
          <w:p>
            <w:pPr>
              <w:pStyle w:val="TableContents"/>
              <w:bidi w:val="0"/>
              <w:spacing w:before="0" w:after="283"/>
              <w:jc w:val="right"/>
              <w:rPr/>
            </w:pPr>
            <w:r>
              <w:rPr/>
              <w:t>97.7</w:t>
            </w:r>
          </w:p>
        </w:tc>
        <w:tc>
          <w:tcPr>
            <w:tcW w:w="329" w:type="dxa"/>
            <w:tcBorders>
              <w:bottom w:val="single" w:sz="12" w:space="0" w:color="000000"/>
            </w:tcBorders>
            <w:tcMar>
              <w:bottom w:w="28" w:type="dxa"/>
            </w:tcMar>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righ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606" w:type="dxa"/>
            <w:tcBorders>
              <w:bottom w:val="single" w:sz="12" w:space="0" w:color="000000"/>
            </w:tcBorders>
            <w:tcMar>
              <w:bottom w:w="28" w:type="dxa"/>
            </w:tcMar>
            <w:vAlign w:val="center"/>
          </w:tcPr>
          <w:p>
            <w:pPr>
              <w:pStyle w:val="TableContents"/>
              <w:bidi w:val="0"/>
              <w:spacing w:before="0" w:after="283"/>
              <w:jc w:val="right"/>
              <w:rPr/>
            </w:pPr>
            <w:r>
              <w:rPr/>
              <w:t>97.5</w:t>
            </w:r>
          </w:p>
        </w:tc>
        <w:tc>
          <w:tcPr>
            <w:tcW w:w="320" w:type="dxa"/>
            <w:tcBorders>
              <w:bottom w:val="single" w:sz="1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96.6</w:t>
            </w:r>
          </w:p>
        </w:tc>
        <w:tc>
          <w:tcPr>
            <w:tcW w:w="320" w:type="dxa"/>
            <w:tcBorders>
              <w:bottom w:val="single" w:sz="1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97.3</w:t>
            </w:r>
          </w:p>
        </w:tc>
        <w:tc>
          <w:tcPr>
            <w:tcW w:w="365"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4525" w:type="dxa"/>
            <w:tcBorders/>
            <w:shd w:fill="CCEEFF" w:val="clear"/>
            <w:vAlign w:val="center"/>
          </w:tcPr>
          <w:p>
            <w:pPr>
              <w:pStyle w:val="TableContents"/>
              <w:bidi w:val="0"/>
              <w:spacing w:before="0" w:after="0"/>
              <w:jc w:val="left"/>
              <w:rPr/>
            </w:pPr>
            <w:r>
              <w:rPr/>
              <w:t xml:space="preserve">Operating income </w:t>
            </w:r>
          </w:p>
        </w:tc>
        <w:tc>
          <w:tcPr>
            <w:tcW w:w="90"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2.3</w:t>
            </w:r>
          </w:p>
        </w:tc>
        <w:tc>
          <w:tcPr>
            <w:tcW w:w="329"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2.5</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3.4</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2.7</w:t>
            </w:r>
          </w:p>
        </w:tc>
        <w:tc>
          <w:tcPr>
            <w:tcW w:w="365" w:type="dxa"/>
            <w:tcBorders/>
            <w:shd w:fill="CCEEFF" w:val="clear"/>
            <w:vAlign w:val="center"/>
          </w:tcPr>
          <w:p>
            <w:pPr>
              <w:pStyle w:val="TableContents"/>
              <w:bidi w:val="0"/>
              <w:spacing w:before="0" w:after="283"/>
              <w:jc w:val="left"/>
              <w:rPr/>
            </w:pPr>
            <w:r>
              <w:rPr/>
              <w:t>%</w:t>
            </w:r>
          </w:p>
        </w:tc>
      </w:tr>
      <w:tr>
        <w:trPr/>
        <w:tc>
          <w:tcPr>
            <w:tcW w:w="4525" w:type="dxa"/>
            <w:tcBorders/>
            <w:vAlign w:val="center"/>
          </w:tcPr>
          <w:p>
            <w:pPr>
              <w:pStyle w:val="TableContents"/>
              <w:bidi w:val="0"/>
              <w:spacing w:before="0" w:after="0"/>
              <w:jc w:val="left"/>
              <w:rPr/>
            </w:pPr>
            <w:r>
              <w:rPr/>
              <w:t xml:space="preserve">Interest expense, net </w:t>
            </w:r>
          </w:p>
        </w:tc>
        <w:tc>
          <w:tcPr>
            <w:tcW w:w="90" w:type="dxa"/>
            <w:tcBorders/>
            <w:vAlign w:val="center"/>
          </w:tcPr>
          <w:p>
            <w:pPr>
              <w:pStyle w:val="TableContents"/>
              <w:bidi w:val="0"/>
              <w:spacing w:before="0" w:after="283"/>
              <w:jc w:val="righ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6" w:type="dxa"/>
            <w:tcBorders>
              <w:bottom w:val="single" w:sz="12" w:space="0" w:color="000000"/>
            </w:tcBorders>
            <w:tcMar>
              <w:bottom w:w="28" w:type="dxa"/>
            </w:tcMar>
            <w:vAlign w:val="center"/>
          </w:tcPr>
          <w:p>
            <w:pPr>
              <w:pStyle w:val="TableContents"/>
              <w:bidi w:val="0"/>
              <w:spacing w:before="0" w:after="283"/>
              <w:jc w:val="right"/>
              <w:rPr/>
            </w:pPr>
            <w:r>
              <w:rPr/>
              <w:t>(0.7</w:t>
            </w:r>
          </w:p>
        </w:tc>
        <w:tc>
          <w:tcPr>
            <w:tcW w:w="329" w:type="dxa"/>
            <w:tcBorders>
              <w:bottom w:val="single" w:sz="12" w:space="0" w:color="000000"/>
            </w:tcBorders>
            <w:tcMar>
              <w:bottom w:w="28" w:type="dxa"/>
            </w:tcMar>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righ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6" w:type="dxa"/>
            <w:tcBorders>
              <w:bottom w:val="single" w:sz="12" w:space="0" w:color="000000"/>
            </w:tcBorders>
            <w:tcMar>
              <w:bottom w:w="28" w:type="dxa"/>
            </w:tcMar>
            <w:vAlign w:val="center"/>
          </w:tcPr>
          <w:p>
            <w:pPr>
              <w:pStyle w:val="TableContents"/>
              <w:bidi w:val="0"/>
              <w:spacing w:before="0" w:after="283"/>
              <w:jc w:val="right"/>
              <w:rPr/>
            </w:pPr>
            <w:r>
              <w:rPr/>
              <w:t>(0.7</w:t>
            </w:r>
          </w:p>
        </w:tc>
        <w:tc>
          <w:tcPr>
            <w:tcW w:w="320" w:type="dxa"/>
            <w:tcBorders>
              <w:bottom w:val="single" w:sz="1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12" w:space="0" w:color="000000"/>
            </w:tcBorders>
            <w:tcMar>
              <w:bottom w:w="28" w:type="dxa"/>
            </w:tcMar>
            <w:vAlign w:val="center"/>
          </w:tcPr>
          <w:p>
            <w:pPr>
              <w:pStyle w:val="TableContents"/>
              <w:bidi w:val="0"/>
              <w:spacing w:before="0" w:after="283"/>
              <w:jc w:val="right"/>
              <w:rPr/>
            </w:pPr>
            <w:r>
              <w:rPr/>
              <w:t>(0.6</w:t>
            </w:r>
          </w:p>
        </w:tc>
        <w:tc>
          <w:tcPr>
            <w:tcW w:w="320" w:type="dxa"/>
            <w:tcBorders>
              <w:bottom w:val="single" w:sz="1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2.7</w:t>
            </w:r>
          </w:p>
        </w:tc>
        <w:tc>
          <w:tcPr>
            <w:tcW w:w="365"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4525" w:type="dxa"/>
            <w:tcBorders/>
            <w:shd w:fill="CCEEFF" w:val="clear"/>
            <w:vAlign w:val="center"/>
          </w:tcPr>
          <w:p>
            <w:pPr>
              <w:pStyle w:val="TableContents"/>
              <w:bidi w:val="0"/>
              <w:spacing w:before="0" w:after="0"/>
              <w:ind w:left="0" w:right="0" w:firstLine="200"/>
              <w:jc w:val="left"/>
              <w:rPr/>
            </w:pPr>
            <w:r>
              <w:rPr/>
              <w:t xml:space="preserve">Income from operations before income taxes </w:t>
            </w:r>
          </w:p>
        </w:tc>
        <w:tc>
          <w:tcPr>
            <w:tcW w:w="90"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1.6</w:t>
            </w:r>
          </w:p>
        </w:tc>
        <w:tc>
          <w:tcPr>
            <w:tcW w:w="329"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1.8</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2.7</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5.4</w:t>
            </w:r>
          </w:p>
        </w:tc>
        <w:tc>
          <w:tcPr>
            <w:tcW w:w="365" w:type="dxa"/>
            <w:tcBorders/>
            <w:shd w:fill="CCEEFF" w:val="clear"/>
            <w:vAlign w:val="center"/>
          </w:tcPr>
          <w:p>
            <w:pPr>
              <w:pStyle w:val="TableContents"/>
              <w:bidi w:val="0"/>
              <w:spacing w:before="0" w:after="283"/>
              <w:jc w:val="left"/>
              <w:rPr/>
            </w:pPr>
            <w:r>
              <w:rPr/>
              <w:t>%</w:t>
            </w:r>
          </w:p>
        </w:tc>
      </w:tr>
      <w:tr>
        <w:trPr/>
        <w:tc>
          <w:tcPr>
            <w:tcW w:w="4525" w:type="dxa"/>
            <w:tcBorders/>
            <w:vAlign w:val="center"/>
          </w:tcPr>
          <w:p>
            <w:pPr>
              <w:pStyle w:val="TableContents"/>
              <w:bidi w:val="0"/>
              <w:spacing w:before="0" w:after="0"/>
              <w:jc w:val="left"/>
              <w:rPr/>
            </w:pPr>
            <w:r>
              <w:rPr/>
              <w:t xml:space="preserve">Provision for income taxes </w:t>
            </w:r>
          </w:p>
        </w:tc>
        <w:tc>
          <w:tcPr>
            <w:tcW w:w="90" w:type="dxa"/>
            <w:tcBorders/>
            <w:vAlign w:val="center"/>
          </w:tcPr>
          <w:p>
            <w:pPr>
              <w:pStyle w:val="TableContents"/>
              <w:bidi w:val="0"/>
              <w:spacing w:before="0" w:after="283"/>
              <w:jc w:val="righ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606" w:type="dxa"/>
            <w:tcBorders>
              <w:bottom w:val="single" w:sz="12" w:space="0" w:color="000000"/>
            </w:tcBorders>
            <w:tcMar>
              <w:bottom w:w="28" w:type="dxa"/>
            </w:tcMar>
            <w:vAlign w:val="center"/>
          </w:tcPr>
          <w:p>
            <w:pPr>
              <w:pStyle w:val="TableContents"/>
              <w:bidi w:val="0"/>
              <w:spacing w:before="0" w:after="283"/>
              <w:jc w:val="right"/>
              <w:rPr/>
            </w:pPr>
            <w:r>
              <w:rPr/>
              <w:t>0.2</w:t>
            </w:r>
          </w:p>
        </w:tc>
        <w:tc>
          <w:tcPr>
            <w:tcW w:w="329"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righ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606" w:type="dxa"/>
            <w:tcBorders>
              <w:bottom w:val="single" w:sz="12" w:space="0" w:color="000000"/>
            </w:tcBorders>
            <w:tcMar>
              <w:bottom w:w="28" w:type="dxa"/>
            </w:tcMar>
            <w:vAlign w:val="center"/>
          </w:tcPr>
          <w:p>
            <w:pPr>
              <w:pStyle w:val="TableContents"/>
              <w:bidi w:val="0"/>
              <w:spacing w:before="0" w:after="283"/>
              <w:jc w:val="right"/>
              <w:rPr/>
            </w:pPr>
            <w:r>
              <w:rPr/>
              <w:t>0.4</w:t>
            </w:r>
          </w:p>
        </w:tc>
        <w:tc>
          <w:tcPr>
            <w:tcW w:w="32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0.5</w:t>
            </w:r>
          </w:p>
        </w:tc>
        <w:tc>
          <w:tcPr>
            <w:tcW w:w="32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0.6</w:t>
            </w:r>
          </w:p>
        </w:tc>
        <w:tc>
          <w:tcPr>
            <w:tcW w:w="365" w:type="dxa"/>
            <w:tcBorders/>
            <w:vAlign w:val="center"/>
          </w:tcPr>
          <w:p>
            <w:pPr>
              <w:pStyle w:val="TableContents"/>
              <w:bidi w:val="0"/>
              <w:spacing w:before="0" w:after="283"/>
              <w:jc w:val="left"/>
              <w:rPr/>
            </w:pPr>
            <w:r>
              <w:rPr/>
              <w:t>%</w:t>
            </w:r>
          </w:p>
        </w:tc>
      </w:tr>
      <w:tr>
        <w:trPr/>
        <w:tc>
          <w:tcPr>
            <w:tcW w:w="4525" w:type="dxa"/>
            <w:tcBorders/>
            <w:shd w:fill="CCEEFF" w:val="clear"/>
            <w:vAlign w:val="center"/>
          </w:tcPr>
          <w:p>
            <w:pPr>
              <w:pStyle w:val="TableContents"/>
              <w:bidi w:val="0"/>
              <w:spacing w:before="0" w:after="0"/>
              <w:jc w:val="left"/>
              <w:rPr/>
            </w:pPr>
            <w:r>
              <w:rPr/>
              <w:t xml:space="preserve">Net income </w:t>
            </w:r>
          </w:p>
        </w:tc>
        <w:tc>
          <w:tcPr>
            <w:tcW w:w="90" w:type="dxa"/>
            <w:tcBorders/>
            <w:shd w:fill="CCEEFF" w:val="clear"/>
            <w:vAlign w:val="center"/>
          </w:tcPr>
          <w:p>
            <w:pPr>
              <w:pStyle w:val="TableContents"/>
              <w:bidi w:val="0"/>
              <w:spacing w:before="0" w:after="283"/>
              <w:jc w:val="right"/>
              <w:rPr/>
            </w:pPr>
            <w:r>
              <w:rPr/>
              <w:t> </w:t>
            </w:r>
          </w:p>
        </w:tc>
        <w:tc>
          <w:tcPr>
            <w:tcW w:w="9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606" w:type="dxa"/>
            <w:tcBorders>
              <w:bottom w:val="double" w:sz="8" w:space="0" w:color="000000"/>
            </w:tcBorders>
            <w:shd w:fill="CCEEFF" w:val="clear"/>
            <w:tcMar>
              <w:bottom w:w="28" w:type="dxa"/>
            </w:tcMar>
            <w:vAlign w:val="center"/>
          </w:tcPr>
          <w:p>
            <w:pPr>
              <w:pStyle w:val="TableContents"/>
              <w:bidi w:val="0"/>
              <w:spacing w:before="0" w:after="283"/>
              <w:jc w:val="right"/>
              <w:rPr/>
            </w:pPr>
            <w:r>
              <w:rPr/>
              <w:t>1.4</w:t>
            </w:r>
          </w:p>
        </w:tc>
        <w:tc>
          <w:tcPr>
            <w:tcW w:w="329"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right"/>
              <w:rPr/>
            </w:pPr>
            <w:r>
              <w:rPr/>
              <w:t> </w:t>
            </w:r>
          </w:p>
        </w:tc>
        <w:tc>
          <w:tcPr>
            <w:tcW w:w="9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606" w:type="dxa"/>
            <w:tcBorders>
              <w:bottom w:val="double" w:sz="8" w:space="0" w:color="000000"/>
            </w:tcBorders>
            <w:shd w:fill="CCEEFF" w:val="clear"/>
            <w:tcMar>
              <w:bottom w:w="28" w:type="dxa"/>
            </w:tcMar>
            <w:vAlign w:val="center"/>
          </w:tcPr>
          <w:p>
            <w:pPr>
              <w:pStyle w:val="TableContents"/>
              <w:bidi w:val="0"/>
              <w:spacing w:before="0" w:after="283"/>
              <w:jc w:val="right"/>
              <w:rPr/>
            </w:pPr>
            <w:r>
              <w:rPr/>
              <w:t>1.3</w:t>
            </w:r>
          </w:p>
        </w:tc>
        <w:tc>
          <w:tcPr>
            <w:tcW w:w="32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283"/>
              <w:jc w:val="right"/>
              <w:rPr/>
            </w:pPr>
            <w:r>
              <w:rPr/>
              <w:t>2.2</w:t>
            </w:r>
          </w:p>
        </w:tc>
        <w:tc>
          <w:tcPr>
            <w:tcW w:w="32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283"/>
              <w:jc w:val="right"/>
              <w:rPr/>
            </w:pPr>
            <w:r>
              <w:rPr/>
              <w:t>4.8</w:t>
            </w:r>
          </w:p>
        </w:tc>
        <w:tc>
          <w:tcPr>
            <w:tcW w:w="365"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Three Months Ended June 30, 2026 Compared to Three Months Ended June 30, 2025</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Consolidated Results of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Revenue</w:t>
      </w:r>
      <w:r>
        <w:rPr>
          <w:rFonts w:ascii="Times New Roman" w:hAnsi="Times New Roman"/>
          <w:sz w:val="20"/>
        </w:rPr>
        <w:t xml:space="preserve">. Revenue increased $26.1 million, or 22.4% to $142.6 million for the three months ended June 30, 2026, from $116.5 million in the prior year comparable period. Revenue growth was primarily due to a 14.5% increase in average student population, with the remainder attributable to tuition increases.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778"/>
        <w:gridCol w:w="90"/>
        <w:gridCol w:w="170"/>
        <w:gridCol w:w="710"/>
        <w:gridCol w:w="90"/>
        <w:gridCol w:w="90"/>
        <w:gridCol w:w="170"/>
        <w:gridCol w:w="710"/>
        <w:gridCol w:w="90"/>
        <w:gridCol w:w="90"/>
        <w:gridCol w:w="90"/>
        <w:gridCol w:w="743"/>
        <w:gridCol w:w="90"/>
        <w:gridCol w:w="90"/>
        <w:gridCol w:w="90"/>
        <w:gridCol w:w="756"/>
        <w:gridCol w:w="90"/>
        <w:gridCol w:w="90"/>
        <w:gridCol w:w="90"/>
        <w:gridCol w:w="1116"/>
        <w:gridCol w:w="245"/>
        <w:gridCol w:w="90"/>
        <w:gridCol w:w="90"/>
        <w:gridCol w:w="1255"/>
        <w:gridCol w:w="292"/>
      </w:tblGrid>
      <w:tr>
        <w:trPr/>
        <w:tc>
          <w:tcPr>
            <w:tcW w:w="27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7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7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809" w:type="dxa"/>
            <w:gridSpan w:val="13"/>
            <w:tcBorders>
              <w:bottom w:val="single" w:sz="12" w:space="0" w:color="000000"/>
            </w:tcBorders>
            <w:tcMar>
              <w:bottom w:w="28" w:type="dxa"/>
            </w:tcMar>
            <w:vAlign w:val="center"/>
          </w:tcPr>
          <w:p>
            <w:pPr>
              <w:pStyle w:val="TableContents"/>
              <w:bidi w:val="0"/>
              <w:spacing w:before="0" w:after="283"/>
              <w:jc w:val="center"/>
              <w:rPr/>
            </w:pPr>
            <w:r>
              <w:rPr>
                <w:b/>
                <w:spacing w:val="0"/>
                <w:sz w:val="20"/>
              </w:rPr>
              <w:t>Three Months Ended June 30,</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tcMar>
              <w:bottom w:w="28" w:type="dxa"/>
            </w:tcMar>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778" w:type="dxa"/>
            <w:tcBorders>
              <w:bottom w:val="single" w:sz="12" w:space="0" w:color="000000"/>
            </w:tcBorders>
            <w:tcMar>
              <w:bottom w:w="28" w:type="dxa"/>
            </w:tcMar>
            <w:vAlign w:val="center"/>
          </w:tcPr>
          <w:p>
            <w:pPr>
              <w:pStyle w:val="TableContents"/>
              <w:bidi w:val="0"/>
              <w:spacing w:before="0" w:after="0"/>
              <w:ind w:left="0" w:right="0" w:hanging="144"/>
              <w:jc w:val="left"/>
              <w:rPr/>
            </w:pPr>
            <w:r>
              <w:rPr>
                <w:b/>
              </w:rPr>
              <w:t>Consolidated</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3" w:type="dxa"/>
            <w:tcBorders>
              <w:bottom w:val="single" w:sz="12" w:space="0" w:color="000000"/>
            </w:tcBorders>
            <w:tcMar>
              <w:bottom w:w="28" w:type="dxa"/>
            </w:tcMar>
            <w:vAlign w:val="center"/>
          </w:tcPr>
          <w:p>
            <w:pPr>
              <w:pStyle w:val="TableContents"/>
              <w:bidi w:val="0"/>
              <w:spacing w:before="0" w:after="283"/>
              <w:jc w:val="center"/>
              <w:rPr/>
            </w:pPr>
            <w:r>
              <w:rPr>
                <w:b/>
              </w:rPr>
              <w:t>7/1/25</w:t>
              <w:br/>
              <w:t>starts*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56" w:type="dxa"/>
            <w:tcBorders>
              <w:bottom w:val="single" w:sz="12" w:space="0" w:color="000000"/>
            </w:tcBorders>
            <w:tcMar>
              <w:bottom w:w="28" w:type="dxa"/>
            </w:tcMar>
            <w:vAlign w:val="center"/>
          </w:tcPr>
          <w:p>
            <w:pPr>
              <w:pStyle w:val="TableContents"/>
              <w:bidi w:val="0"/>
              <w:spacing w:before="0" w:after="283"/>
              <w:jc w:val="center"/>
              <w:rPr/>
            </w:pPr>
            <w:r>
              <w:rPr>
                <w:b/>
              </w:rPr>
              <w:t>2025 *</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16"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 change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55" w:type="dxa"/>
            <w:tcBorders>
              <w:bottom w:val="single" w:sz="12" w:space="0" w:color="000000"/>
            </w:tcBorders>
            <w:tcMar>
              <w:bottom w:w="28" w:type="dxa"/>
            </w:tcMar>
            <w:vAlign w:val="center"/>
          </w:tcPr>
          <w:p>
            <w:pPr>
              <w:pStyle w:val="TableContents"/>
              <w:bidi w:val="0"/>
              <w:spacing w:before="0" w:after="283"/>
              <w:jc w:val="center"/>
              <w:rPr/>
            </w:pPr>
            <w:r>
              <w:rPr>
                <w:b/>
              </w:rPr>
              <w:t>% change *</w:t>
            </w:r>
            <w:r>
              <w:rPr/>
              <w:t xml:space="preserve"> </w:t>
            </w:r>
          </w:p>
        </w:tc>
        <w:tc>
          <w:tcPr>
            <w:tcW w:w="292" w:type="dxa"/>
            <w:tcBorders/>
            <w:vAlign w:val="center"/>
          </w:tcPr>
          <w:p>
            <w:pPr>
              <w:pStyle w:val="TableContents"/>
              <w:bidi w:val="0"/>
              <w:spacing w:before="0" w:after="283"/>
              <w:jc w:val="center"/>
              <w:rPr/>
            </w:pPr>
            <w:r>
              <w:rPr/>
              <w:t> </w:t>
            </w:r>
          </w:p>
        </w:tc>
      </w:tr>
      <w:tr>
        <w:trPr/>
        <w:tc>
          <w:tcPr>
            <w:tcW w:w="2778" w:type="dxa"/>
            <w:tcBorders/>
            <w:shd w:fill="CCEEFF" w:val="clear"/>
            <w:vAlign w:val="center"/>
          </w:tcPr>
          <w:p>
            <w:pPr>
              <w:pStyle w:val="TableContents"/>
              <w:bidi w:val="0"/>
              <w:spacing w:before="0" w:after="0"/>
              <w:ind w:left="0" w:right="0" w:hanging="144"/>
              <w:jc w:val="left"/>
              <w:rPr/>
            </w:pPr>
            <w:r>
              <w:rPr/>
              <w:t xml:space="preserve">Revenue (millions)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142.6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22.4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27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778" w:type="dxa"/>
            <w:tcBorders/>
            <w:shd w:fill="CCEEFF" w:val="clear"/>
            <w:vAlign w:val="center"/>
          </w:tcPr>
          <w:p>
            <w:pPr>
              <w:pStyle w:val="TableContents"/>
              <w:bidi w:val="0"/>
              <w:spacing w:before="0" w:after="0"/>
              <w:ind w:left="0" w:right="0" w:hanging="144"/>
              <w:jc w:val="left"/>
              <w:rPr/>
            </w:pPr>
            <w:r>
              <w:rPr/>
              <w:t xml:space="preserve">Total new student starts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5,969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3,157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2,764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5,921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89.1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0.8</w:t>
            </w:r>
          </w:p>
        </w:tc>
        <w:tc>
          <w:tcPr>
            <w:tcW w:w="292" w:type="dxa"/>
            <w:tcBorders/>
            <w:shd w:fill="CCEEFF" w:val="clear"/>
            <w:vAlign w:val="center"/>
          </w:tcPr>
          <w:p>
            <w:pPr>
              <w:pStyle w:val="TableContents"/>
              <w:bidi w:val="0"/>
              <w:spacing w:before="0" w:after="283"/>
              <w:jc w:val="left"/>
              <w:rPr/>
            </w:pPr>
            <w:r>
              <w:rPr/>
              <w:t>%</w:t>
            </w:r>
          </w:p>
        </w:tc>
      </w:tr>
      <w:tr>
        <w:trPr/>
        <w:tc>
          <w:tcPr>
            <w:tcW w:w="2778" w:type="dxa"/>
            <w:tcBorders/>
            <w:vAlign w:val="center"/>
          </w:tcPr>
          <w:p>
            <w:pPr>
              <w:pStyle w:val="TableContents"/>
              <w:bidi w:val="0"/>
              <w:spacing w:before="0" w:after="0"/>
              <w:ind w:left="0" w:right="0" w:hanging="144"/>
              <w:jc w:val="left"/>
              <w:rPr/>
            </w:pPr>
            <w:r>
              <w:rPr/>
              <w:t xml:space="preserve">Average student population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18,343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15,554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460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16,014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17.9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right"/>
              <w:rPr/>
            </w:pPr>
            <w:r>
              <w:rPr/>
              <w:t>14.5</w:t>
            </w:r>
          </w:p>
        </w:tc>
        <w:tc>
          <w:tcPr>
            <w:tcW w:w="292" w:type="dxa"/>
            <w:tcBorders/>
            <w:vAlign w:val="center"/>
          </w:tcPr>
          <w:p>
            <w:pPr>
              <w:pStyle w:val="TableContents"/>
              <w:bidi w:val="0"/>
              <w:spacing w:before="0" w:after="283"/>
              <w:jc w:val="left"/>
              <w:rPr/>
            </w:pPr>
            <w:r>
              <w:rPr/>
              <w:t>%</w:t>
            </w:r>
          </w:p>
        </w:tc>
      </w:tr>
      <w:tr>
        <w:trPr/>
        <w:tc>
          <w:tcPr>
            <w:tcW w:w="2778" w:type="dxa"/>
            <w:tcBorders/>
            <w:shd w:fill="CCEEFF" w:val="clear"/>
            <w:vAlign w:val="center"/>
          </w:tcPr>
          <w:p>
            <w:pPr>
              <w:pStyle w:val="TableContents"/>
              <w:bidi w:val="0"/>
              <w:spacing w:before="0" w:after="0"/>
              <w:ind w:left="0" w:right="0" w:hanging="144"/>
              <w:jc w:val="left"/>
              <w:rPr/>
            </w:pPr>
            <w:r>
              <w:rPr/>
              <w:t xml:space="preserve">End of period student population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18,905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14,356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2,764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17,120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31.7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10.4</w:t>
            </w:r>
          </w:p>
        </w:tc>
        <w:tc>
          <w:tcPr>
            <w:tcW w:w="292"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 2025 figures include 2,764 student starts on July 1, 2025, to align with comparable student start activity in the current year during the last week of June 2026, returning to our typical start schedule.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99"/>
        <w:gridCol w:w="90"/>
        <w:gridCol w:w="170"/>
        <w:gridCol w:w="830"/>
        <w:gridCol w:w="185"/>
        <w:gridCol w:w="90"/>
        <w:gridCol w:w="170"/>
        <w:gridCol w:w="830"/>
        <w:gridCol w:w="185"/>
        <w:gridCol w:w="90"/>
        <w:gridCol w:w="170"/>
        <w:gridCol w:w="830"/>
        <w:gridCol w:w="185"/>
        <w:gridCol w:w="89"/>
        <w:gridCol w:w="170"/>
        <w:gridCol w:w="830"/>
        <w:gridCol w:w="185"/>
        <w:gridCol w:w="90"/>
        <w:gridCol w:w="170"/>
        <w:gridCol w:w="785"/>
        <w:gridCol w:w="185"/>
        <w:gridCol w:w="90"/>
        <w:gridCol w:w="170"/>
        <w:gridCol w:w="785"/>
        <w:gridCol w:w="232"/>
      </w:tblGrid>
      <w:tr>
        <w:trPr/>
        <w:tc>
          <w:tcPr>
            <w:tcW w:w="25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0"/>
              <w:ind w:left="0" w:right="0" w:hanging="0"/>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7114" w:type="dxa"/>
            <w:gridSpan w:val="21"/>
            <w:tcBorders>
              <w:bottom w:val="single" w:sz="12" w:space="0" w:color="000000"/>
            </w:tcBorders>
            <w:tcMar>
              <w:bottom w:w="28" w:type="dxa"/>
            </w:tcMar>
            <w:vAlign w:val="bottom"/>
          </w:tcPr>
          <w:p>
            <w:pPr>
              <w:pStyle w:val="TableContents"/>
              <w:bidi w:val="0"/>
              <w:spacing w:before="0" w:after="283"/>
              <w:jc w:val="center"/>
              <w:rPr/>
            </w:pPr>
            <w:r>
              <w:rPr>
                <w:b/>
                <w:spacing w:val="0"/>
                <w:sz w:val="20"/>
              </w:rPr>
              <w:t>Three Months Ended June 30,</w:t>
            </w:r>
            <w:r>
              <w:rPr/>
              <w:t xml:space="preserve"> </w:t>
            </w:r>
          </w:p>
        </w:tc>
        <w:tc>
          <w:tcPr>
            <w:tcW w:w="232" w:type="dxa"/>
            <w:tcBorders/>
            <w:vAlign w:val="bottom"/>
          </w:tcPr>
          <w:p>
            <w:pPr>
              <w:pStyle w:val="TableContents"/>
              <w:bidi w:val="0"/>
              <w:spacing w:before="0" w:after="283"/>
              <w:jc w:val="center"/>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0"/>
              <w:ind w:left="0" w:right="0" w:hanging="0"/>
              <w:jc w:val="left"/>
              <w:rPr/>
            </w:pPr>
            <w:r>
              <w:rPr/>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2105" w:type="dxa"/>
            <w:gridSpan w:val="5"/>
            <w:tcBorders>
              <w:bottom w:val="single" w:sz="12" w:space="0" w:color="000000"/>
            </w:tcBorders>
            <w:tcMar>
              <w:bottom w:w="28" w:type="dxa"/>
            </w:tcMar>
            <w:vAlign w:val="bottom"/>
          </w:tcPr>
          <w:p>
            <w:pPr>
              <w:pStyle w:val="TableContents"/>
              <w:bidi w:val="0"/>
              <w:spacing w:before="0" w:after="283"/>
              <w:jc w:val="center"/>
              <w:rPr/>
            </w:pPr>
            <w:r>
              <w:rPr>
                <w:b/>
                <w:spacing w:val="0"/>
                <w:sz w:val="20"/>
              </w:rPr>
              <w:t>Consolidated</w:t>
            </w:r>
            <w:r>
              <w:rPr/>
              <w:t xml:space="preserve"> </w:t>
            </w:r>
          </w:p>
        </w:tc>
        <w:tc>
          <w:tcPr>
            <w:tcW w:w="18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90" w:type="dxa"/>
            <w:tcBorders>
              <w:bottom w:val="single" w:sz="12" w:space="0" w:color="000000"/>
            </w:tcBorders>
            <w:tcMar>
              <w:bottom w:w="28" w:type="dxa"/>
            </w:tcMar>
            <w:vAlign w:val="bottom"/>
          </w:tcPr>
          <w:p>
            <w:pPr>
              <w:pStyle w:val="TableContents"/>
              <w:bidi w:val="0"/>
              <w:spacing w:before="0" w:after="0"/>
              <w:ind w:left="0" w:right="0" w:hanging="0"/>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2104" w:type="dxa"/>
            <w:gridSpan w:val="5"/>
            <w:tcBorders>
              <w:bottom w:val="single" w:sz="12" w:space="0" w:color="000000"/>
            </w:tcBorders>
            <w:tcMar>
              <w:bottom w:w="28" w:type="dxa"/>
            </w:tcMar>
            <w:vAlign w:val="bottom"/>
          </w:tcPr>
          <w:p>
            <w:pPr>
              <w:pStyle w:val="TableContents"/>
              <w:bidi w:val="0"/>
              <w:spacing w:before="0" w:after="283"/>
              <w:jc w:val="center"/>
              <w:rPr/>
            </w:pPr>
            <w:r>
              <w:rPr>
                <w:b/>
                <w:spacing w:val="0"/>
                <w:sz w:val="20"/>
              </w:rPr>
              <w:t>Campus Operations</w:t>
            </w:r>
            <w:r>
              <w:rPr/>
              <w:t xml:space="preserve"> </w:t>
            </w:r>
          </w:p>
        </w:tc>
        <w:tc>
          <w:tcPr>
            <w:tcW w:w="18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15" w:type="dxa"/>
            <w:gridSpan w:val="5"/>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Corporate</w:t>
            </w:r>
          </w:p>
        </w:tc>
        <w:tc>
          <w:tcPr>
            <w:tcW w:w="232" w:type="dxa"/>
            <w:tcBorders/>
            <w:vAlign w:val="bottom"/>
          </w:tcPr>
          <w:p>
            <w:pPr>
              <w:pStyle w:val="TableContents"/>
              <w:bidi w:val="0"/>
              <w:spacing w:before="0" w:after="283"/>
              <w:jc w:val="center"/>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30" w:type="dxa"/>
            <w:tcBorders/>
            <w:vAlign w:val="center"/>
          </w:tcPr>
          <w:p>
            <w:pPr>
              <w:pStyle w:val="TableContents"/>
              <w:bidi w:val="0"/>
              <w:spacing w:before="0" w:after="0"/>
              <w:ind w:left="0" w:right="0" w:hanging="0"/>
              <w:jc w:val="center"/>
              <w:rPr>
                <w:b/>
              </w:rPr>
            </w:pPr>
            <w:r>
              <w:rPr>
                <w:b/>
              </w:rPr>
              <w:t>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30" w:type="dxa"/>
            <w:tcBorders/>
            <w:vAlign w:val="center"/>
          </w:tcPr>
          <w:p>
            <w:pPr>
              <w:pStyle w:val="TableContents"/>
              <w:bidi w:val="0"/>
              <w:spacing w:before="0" w:after="0"/>
              <w:ind w:left="0" w:right="0" w:hanging="0"/>
              <w:jc w:val="center"/>
              <w:rPr>
                <w:b/>
              </w:rPr>
            </w:pPr>
            <w:r>
              <w:rPr>
                <w:b/>
              </w:rPr>
              <w:t>2025</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30" w:type="dxa"/>
            <w:tcBorders/>
            <w:vAlign w:val="center"/>
          </w:tcPr>
          <w:p>
            <w:pPr>
              <w:pStyle w:val="TableContents"/>
              <w:bidi w:val="0"/>
              <w:spacing w:before="0" w:after="0"/>
              <w:ind w:left="0" w:right="0" w:hanging="0"/>
              <w:jc w:val="center"/>
              <w:rPr>
                <w:b/>
              </w:rPr>
            </w:pPr>
            <w:r>
              <w:rPr>
                <w:b/>
              </w:rPr>
              <w:t>2026</w:t>
            </w:r>
          </w:p>
        </w:tc>
        <w:tc>
          <w:tcPr>
            <w:tcW w:w="185" w:type="dxa"/>
            <w:tcBorders/>
            <w:vAlign w:val="center"/>
          </w:tcPr>
          <w:p>
            <w:pPr>
              <w:pStyle w:val="TableContents"/>
              <w:bidi w:val="0"/>
              <w:spacing w:before="0" w:after="283"/>
              <w:jc w:val="center"/>
              <w:rPr/>
            </w:pPr>
            <w:r>
              <w:rPr/>
              <w:t> </w:t>
            </w:r>
          </w:p>
        </w:tc>
        <w:tc>
          <w:tcPr>
            <w:tcW w:w="89"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30" w:type="dxa"/>
            <w:tcBorders/>
            <w:vAlign w:val="center"/>
          </w:tcPr>
          <w:p>
            <w:pPr>
              <w:pStyle w:val="TableContents"/>
              <w:bidi w:val="0"/>
              <w:spacing w:before="0" w:after="0"/>
              <w:ind w:left="0" w:right="0" w:hanging="0"/>
              <w:jc w:val="center"/>
              <w:rPr>
                <w:b/>
              </w:rPr>
            </w:pPr>
            <w:r>
              <w:rPr>
                <w:b/>
              </w:rPr>
              <w:t>2025</w:t>
            </w:r>
          </w:p>
        </w:tc>
        <w:tc>
          <w:tcPr>
            <w:tcW w:w="185" w:type="dxa"/>
            <w:tcBorders/>
            <w:vAlign w:val="center"/>
          </w:tcPr>
          <w:p>
            <w:pPr>
              <w:pStyle w:val="TableContents"/>
              <w:bidi w:val="0"/>
              <w:spacing w:before="0" w:after="283"/>
              <w:jc w:val="center"/>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center"/>
          </w:tcPr>
          <w:p>
            <w:pPr>
              <w:pStyle w:val="TableContents"/>
              <w:bidi w:val="0"/>
              <w:spacing w:before="0" w:after="0"/>
              <w:ind w:left="0" w:right="0" w:hanging="0"/>
              <w:jc w:val="center"/>
              <w:rPr>
                <w:b/>
              </w:rPr>
            </w:pPr>
            <w:r>
              <w:rPr>
                <w:b/>
              </w:rPr>
              <w:t>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0"/>
              <w:ind w:left="0" w:right="0" w:hanging="0"/>
              <w:jc w:val="center"/>
              <w:rPr>
                <w:b/>
              </w:rPr>
            </w:pPr>
            <w:r>
              <w:rPr>
                <w:b/>
              </w:rPr>
              <w:t>2025</w:t>
            </w:r>
          </w:p>
        </w:tc>
        <w:tc>
          <w:tcPr>
            <w:tcW w:w="232" w:type="dxa"/>
            <w:tcBorders/>
            <w:vAlign w:val="center"/>
          </w:tcPr>
          <w:p>
            <w:pPr>
              <w:pStyle w:val="TableContents"/>
              <w:bidi w:val="0"/>
              <w:spacing w:before="0" w:after="283"/>
              <w:jc w:val="center"/>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REVENUE</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142,560</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116,474</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142,560</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116,474</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r>
              <w:rPr/>
              <w:t xml:space="preserve">- </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232"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COSTS AND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Instructional</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28,153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23,544</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28,153</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23,544</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Books and tools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10,380</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6,769</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10,380</w:t>
            </w:r>
          </w:p>
        </w:tc>
        <w:tc>
          <w:tcPr>
            <w:tcW w:w="185"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6,769</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r>
              <w:rPr/>
              <w:t xml:space="preserve">- </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p>
        </w:tc>
        <w:tc>
          <w:tcPr>
            <w:tcW w:w="232" w:type="dxa"/>
            <w:tcBorders/>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Facilities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13,444</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11,933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13,444</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11,933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Depreciation and amortization</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7,655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4,545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7,655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4,545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 xml:space="preserve">  </w:t>
            </w:r>
            <w:r>
              <w:rPr/>
              <w:t xml:space="preserve">- </w:t>
            </w:r>
          </w:p>
        </w:tc>
        <w:tc>
          <w:tcPr>
            <w:tcW w:w="185" w:type="dxa"/>
            <w:tcBorders/>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 xml:space="preserve">- </w:t>
            </w:r>
          </w:p>
        </w:tc>
        <w:tc>
          <w:tcPr>
            <w:tcW w:w="232"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0"/>
              <w:jc w:val="left"/>
              <w:rPr/>
            </w:pPr>
            <w:r>
              <w:rPr/>
              <w:t>Educational services and facilities</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59,632</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46,791</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59,632</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46,791</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r>
              <w:rPr/>
              <w:t xml:space="preserve">- </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232"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Sales and marketing</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24,745</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18,872</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24,745</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18,872</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Student services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7,903</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6,363</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7,903</w:t>
            </w:r>
          </w:p>
        </w:tc>
        <w:tc>
          <w:tcPr>
            <w:tcW w:w="185"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6,363</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r>
              <w:rPr/>
              <w:t xml:space="preserve">- </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p>
        </w:tc>
        <w:tc>
          <w:tcPr>
            <w:tcW w:w="232" w:type="dxa"/>
            <w:tcBorders/>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Provision for credit losses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16,035</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13,177</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16,035</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13,177</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Administrative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30,832</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28,484</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12,707</w:t>
            </w:r>
          </w:p>
        </w:tc>
        <w:tc>
          <w:tcPr>
            <w:tcW w:w="185"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12,218</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18,125</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16,266</w:t>
            </w:r>
          </w:p>
        </w:tc>
        <w:tc>
          <w:tcPr>
            <w:tcW w:w="232" w:type="dxa"/>
            <w:tcBorders/>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Depreciation and amortization</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134</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165</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134</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165</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0"/>
              <w:jc w:val="left"/>
              <w:rPr/>
            </w:pPr>
            <w:r>
              <w:rPr/>
              <w:t>Selling, general and administrative</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79,649</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67,061</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61,390</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50,630</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18,259</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16,431</w:t>
            </w:r>
          </w:p>
        </w:tc>
        <w:tc>
          <w:tcPr>
            <w:tcW w:w="232"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0"/>
              <w:jc w:val="left"/>
              <w:rPr/>
            </w:pPr>
            <w:r>
              <w:rPr/>
              <w:t>Gain on sale of assets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(256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(10</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(256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0"/>
              <w:jc w:val="left"/>
              <w:rPr/>
            </w:pPr>
            <w:r>
              <w:rPr/>
              <w:t>Total costs and expenses</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139,248</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113,596</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121,012</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97,165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18,236</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16,431</w:t>
            </w:r>
          </w:p>
        </w:tc>
        <w:tc>
          <w:tcPr>
            <w:tcW w:w="232"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OPERATING INCOME (LOSS)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3,312</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2,878</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21,548</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19,309</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785"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(18,236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785"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(16,431</w:t>
            </w:r>
          </w:p>
        </w:tc>
        <w:tc>
          <w:tcPr>
            <w:tcW w:w="232" w:type="dxa"/>
            <w:tcBorders/>
            <w:shd w:fill="CCEEFF" w:val="clear"/>
            <w:vAlign w:val="bottom"/>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Educational services and facilities expense.</w:t>
      </w:r>
      <w:r>
        <w:rPr>
          <w:rFonts w:ascii="Times New Roman" w:hAnsi="Times New Roman"/>
          <w:sz w:val="20"/>
        </w:rPr>
        <w:t xml:space="preserve"> Educational services and facilities expense increased by $12.8 million, or 27.4%, to $59.6 million for the three months ended June 30, 2026, compared to $46.8 million for the prior year comparable period. This includes a $2.9 million increase in costs related to our new campuses in Houston, Hicksville, and Rowlett.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The increase was primarily driven by costs associated with a larger student population as well as higher books and tools expense primarily due to the timing of program starts</w:t>
      </w:r>
      <w:r>
        <w:rPr>
          <w:rFonts w:ascii="Times New Roman" w:hAnsi="Times New Roman"/>
          <w:color w:val="008080"/>
          <w:sz w:val="20"/>
        </w:rPr>
        <w:t xml:space="preserve">. </w:t>
      </w:r>
      <w:r>
        <w:rPr>
          <w:rFonts w:ascii="Times New Roman" w:hAnsi="Times New Roman"/>
          <w:sz w:val="20"/>
        </w:rPr>
        <w:t xml:space="preserve">The remaining increase was attributable to $3.1 million in higher depreciation expense, including $0.8 million related to new campuses, largely resulting from capital investments to support our growth initiatives.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Educational services and facilities expense as a percentage of revenue increased to 41.8% from 40.2% in the prior year comparable period.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 xml:space="preserve">Selling, general and administrative expense. </w:t>
      </w:r>
      <w:r>
        <w:rPr>
          <w:rFonts w:ascii="Times New Roman" w:hAnsi="Times New Roman"/>
          <w:sz w:val="20"/>
        </w:rPr>
        <w:t xml:space="preserve">Selling, general and administrative expense increased $12.6 million, or 18.8% to $79.7 million for the three months ended June 30, 2026, compared to $67.1 million in the prior year comparable period. This includes a $2.1 million increase in costs related to our new campuses in Houston, Hicksville, and Rowlett.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increase was primarily driven by a larger student population, higher sales and marketing expense, and an increased provision for credit losses.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23</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sz w:val="20"/>
        </w:rPr>
        <w:t xml:space="preserve">Sales and marketing expense increased by $5.9 million, or 31.1%, including $1.2 million related to our new campuses, due to higher student acquisition costs.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Selling, general and administrative expenses continued to decline as a percentage of revenue, at 55.9% for the three months ended June 30, 2026, compared to 57.6% for the same period in 2025.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Provision for credit losses.</w:t>
      </w:r>
      <w:r>
        <w:rPr>
          <w:rFonts w:ascii="Times New Roman" w:hAnsi="Times New Roman"/>
          <w:color w:val="008080"/>
          <w:sz w:val="20"/>
        </w:rPr>
        <w:t> </w:t>
      </w:r>
      <w:r>
        <w:rPr>
          <w:rFonts w:ascii="Times New Roman" w:hAnsi="Times New Roman"/>
          <w:sz w:val="20"/>
        </w:rPr>
        <w:t xml:space="preserve">While the provision increased by $2.9 million, it was slightly lower as a percentage of revenue at 11.2% compared to 11.3% in the prior year.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 xml:space="preserve">Income taxes. </w:t>
      </w:r>
      <w:r>
        <w:rPr>
          <w:rFonts w:ascii="Times New Roman" w:hAnsi="Times New Roman"/>
          <w:sz w:val="20"/>
        </w:rPr>
        <w:t xml:space="preserve">Income tax provision was $0.3 million for the three months ended June 30, 2026, representing an effective tax rate of 13.9% of pre-tax income, compared to an income tax provision of $0.5 million and an effective tax rate of 25.1% for the prior year comparable period. The lower effective tax rate in the current period was primarily due to a discrete tax benefit related to restricted stock vesting.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u w:val="single"/>
        </w:rPr>
        <w:t>Corporate and Other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This category includes unallocated expenses incurred on behalf of the entire Company. Corporate and other expenses were $18.2 million for the three months ended June 30, 2026, compared to $16.4 million in the prior year comparable period. The increase was primarily driven by higher salaries and benefits to support a larger student population and the execution of our growth initiatives.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Six Months Ended June 30, 2026 Compared to Six Months Ended June 30, 2025</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Consolidated Results of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Revenue</w:t>
      </w:r>
      <w:r>
        <w:rPr>
          <w:rFonts w:ascii="Times New Roman" w:hAnsi="Times New Roman"/>
          <w:sz w:val="20"/>
        </w:rPr>
        <w:t xml:space="preserve">. Revenue increased $52.5 million, or 22.4% to $286.5 million for the six months ended June 30, 2026, from $234.0 million in the prior year comparable period. Revenue growth was primarily due to a 16.3% increase in average student population, with the remainder attributable to tuition increases.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461"/>
        <w:gridCol w:w="90"/>
        <w:gridCol w:w="170"/>
        <w:gridCol w:w="710"/>
        <w:gridCol w:w="90"/>
        <w:gridCol w:w="90"/>
        <w:gridCol w:w="170"/>
        <w:gridCol w:w="710"/>
        <w:gridCol w:w="90"/>
        <w:gridCol w:w="90"/>
        <w:gridCol w:w="90"/>
        <w:gridCol w:w="1118"/>
        <w:gridCol w:w="90"/>
        <w:gridCol w:w="90"/>
        <w:gridCol w:w="90"/>
        <w:gridCol w:w="746"/>
        <w:gridCol w:w="90"/>
        <w:gridCol w:w="90"/>
        <w:gridCol w:w="90"/>
        <w:gridCol w:w="1106"/>
        <w:gridCol w:w="245"/>
        <w:gridCol w:w="90"/>
        <w:gridCol w:w="90"/>
        <w:gridCol w:w="1216"/>
        <w:gridCol w:w="293"/>
      </w:tblGrid>
      <w:tr>
        <w:trPr/>
        <w:tc>
          <w:tcPr>
            <w:tcW w:w="246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r>
      <w:tr>
        <w:trPr/>
        <w:tc>
          <w:tcPr>
            <w:tcW w:w="24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4174" w:type="dxa"/>
            <w:gridSpan w:val="13"/>
            <w:tcBorders>
              <w:bottom w:val="single" w:sz="12" w:space="0" w:color="000000"/>
            </w:tcBorders>
            <w:tcMar>
              <w:bottom w:w="28" w:type="dxa"/>
            </w:tcMar>
            <w:vAlign w:val="center"/>
          </w:tcPr>
          <w:p>
            <w:pPr>
              <w:pStyle w:val="TableContents"/>
              <w:bidi w:val="0"/>
              <w:spacing w:before="0" w:after="283"/>
              <w:jc w:val="center"/>
              <w:rPr/>
            </w:pPr>
            <w:r>
              <w:rPr>
                <w:b/>
                <w:spacing w:val="0"/>
                <w:sz w:val="20"/>
              </w:rPr>
              <w:t>Six Months Ended June 30,</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r>
      <w:tr>
        <w:trPr/>
        <w:tc>
          <w:tcPr>
            <w:tcW w:w="2461" w:type="dxa"/>
            <w:tcBorders>
              <w:bottom w:val="single" w:sz="12" w:space="0" w:color="000000"/>
            </w:tcBorders>
            <w:tcMar>
              <w:bottom w:w="28" w:type="dxa"/>
            </w:tcMar>
            <w:vAlign w:val="center"/>
          </w:tcPr>
          <w:p>
            <w:pPr>
              <w:pStyle w:val="TableContents"/>
              <w:bidi w:val="0"/>
              <w:spacing w:before="0" w:after="0"/>
              <w:ind w:left="0" w:right="0" w:hanging="144"/>
              <w:jc w:val="left"/>
              <w:rPr/>
            </w:pPr>
            <w:r>
              <w:rPr>
                <w:b/>
              </w:rPr>
              <w:t>Consolidated</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18" w:type="dxa"/>
            <w:tcBorders>
              <w:bottom w:val="single" w:sz="12" w:space="0" w:color="000000"/>
            </w:tcBorders>
            <w:tcMar>
              <w:bottom w:w="28" w:type="dxa"/>
            </w:tcMar>
            <w:vAlign w:val="center"/>
          </w:tcPr>
          <w:p>
            <w:pPr>
              <w:pStyle w:val="TableContents"/>
              <w:bidi w:val="0"/>
              <w:spacing w:before="0" w:after="283"/>
              <w:jc w:val="center"/>
              <w:rPr/>
            </w:pPr>
            <w:r>
              <w:rPr>
                <w:b/>
              </w:rPr>
              <w:t>7/1/25 starts*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6" w:type="dxa"/>
            <w:tcBorders>
              <w:bottom w:val="single" w:sz="12" w:space="0" w:color="000000"/>
            </w:tcBorders>
            <w:tcMar>
              <w:bottom w:w="28" w:type="dxa"/>
            </w:tcMar>
            <w:vAlign w:val="center"/>
          </w:tcPr>
          <w:p>
            <w:pPr>
              <w:pStyle w:val="TableContents"/>
              <w:bidi w:val="0"/>
              <w:spacing w:before="0" w:after="283"/>
              <w:jc w:val="center"/>
              <w:rPr/>
            </w:pPr>
            <w:r>
              <w:rPr>
                <w:b/>
              </w:rPr>
              <w:t>2025 *</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06"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 change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16" w:type="dxa"/>
            <w:tcBorders>
              <w:bottom w:val="single" w:sz="12" w:space="0" w:color="000000"/>
            </w:tcBorders>
            <w:tcMar>
              <w:bottom w:w="28" w:type="dxa"/>
            </w:tcMar>
            <w:vAlign w:val="center"/>
          </w:tcPr>
          <w:p>
            <w:pPr>
              <w:pStyle w:val="TableContents"/>
              <w:bidi w:val="0"/>
              <w:spacing w:before="0" w:after="283"/>
              <w:jc w:val="center"/>
              <w:rPr/>
            </w:pPr>
            <w:r>
              <w:rPr>
                <w:b/>
              </w:rPr>
              <w:t>% change *</w:t>
            </w:r>
            <w:r>
              <w:rPr/>
              <w:t xml:space="preserve"> </w:t>
            </w:r>
          </w:p>
        </w:tc>
        <w:tc>
          <w:tcPr>
            <w:tcW w:w="293" w:type="dxa"/>
            <w:tcBorders/>
            <w:vAlign w:val="center"/>
          </w:tcPr>
          <w:p>
            <w:pPr>
              <w:pStyle w:val="TableContents"/>
              <w:bidi w:val="0"/>
              <w:spacing w:before="0" w:after="283"/>
              <w:jc w:val="center"/>
              <w:rPr/>
            </w:pPr>
            <w:r>
              <w:rPr/>
              <w:t> </w:t>
            </w:r>
          </w:p>
        </w:tc>
      </w:tr>
      <w:tr>
        <w:trPr/>
        <w:tc>
          <w:tcPr>
            <w:tcW w:w="2461" w:type="dxa"/>
            <w:tcBorders/>
            <w:shd w:fill="CCEEFF" w:val="clear"/>
            <w:vAlign w:val="center"/>
          </w:tcPr>
          <w:p>
            <w:pPr>
              <w:pStyle w:val="TableContents"/>
              <w:bidi w:val="0"/>
              <w:spacing w:before="0" w:after="0"/>
              <w:ind w:left="0" w:right="0" w:hanging="144"/>
              <w:jc w:val="left"/>
              <w:rPr/>
            </w:pPr>
            <w:r>
              <w:rPr/>
              <w:t xml:space="preserve">Revenue (millions)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286.5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234.0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22.4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r>
      <w:tr>
        <w:trPr/>
        <w:tc>
          <w:tcPr>
            <w:tcW w:w="24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r>
      <w:tr>
        <w:trPr/>
        <w:tc>
          <w:tcPr>
            <w:tcW w:w="2461" w:type="dxa"/>
            <w:tcBorders/>
            <w:shd w:fill="CCEEFF" w:val="clear"/>
            <w:vAlign w:val="center"/>
          </w:tcPr>
          <w:p>
            <w:pPr>
              <w:pStyle w:val="TableContents"/>
              <w:bidi w:val="0"/>
              <w:spacing w:before="0" w:after="0"/>
              <w:ind w:left="0" w:right="0" w:hanging="144"/>
              <w:jc w:val="left"/>
              <w:rPr/>
            </w:pPr>
            <w:r>
              <w:rPr/>
              <w:t xml:space="preserve">Total new student starts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11,478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7,767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2,764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10,531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47.8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9.0</w:t>
            </w:r>
          </w:p>
        </w:tc>
        <w:tc>
          <w:tcPr>
            <w:tcW w:w="293" w:type="dxa"/>
            <w:tcBorders/>
            <w:shd w:fill="CCEEFF" w:val="clear"/>
            <w:vAlign w:val="center"/>
          </w:tcPr>
          <w:p>
            <w:pPr>
              <w:pStyle w:val="TableContents"/>
              <w:bidi w:val="0"/>
              <w:spacing w:before="0" w:after="283"/>
              <w:jc w:val="left"/>
              <w:rPr/>
            </w:pPr>
            <w:r>
              <w:rPr/>
              <w:t>%</w:t>
            </w:r>
          </w:p>
        </w:tc>
      </w:tr>
      <w:tr>
        <w:trPr/>
        <w:tc>
          <w:tcPr>
            <w:tcW w:w="2461" w:type="dxa"/>
            <w:tcBorders/>
            <w:vAlign w:val="center"/>
          </w:tcPr>
          <w:p>
            <w:pPr>
              <w:pStyle w:val="TableContents"/>
              <w:bidi w:val="0"/>
              <w:spacing w:before="0" w:after="0"/>
              <w:ind w:left="0" w:right="0" w:hanging="144"/>
              <w:jc w:val="left"/>
              <w:rPr/>
            </w:pPr>
            <w:r>
              <w:rPr/>
              <w:t xml:space="preserve">Average student population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18,314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15,511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231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15,742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18.1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right"/>
              <w:rPr/>
            </w:pPr>
            <w:r>
              <w:rPr/>
              <w:t>16.3</w:t>
            </w:r>
          </w:p>
        </w:tc>
        <w:tc>
          <w:tcPr>
            <w:tcW w:w="293" w:type="dxa"/>
            <w:tcBorders/>
            <w:vAlign w:val="center"/>
          </w:tcPr>
          <w:p>
            <w:pPr>
              <w:pStyle w:val="TableContents"/>
              <w:bidi w:val="0"/>
              <w:spacing w:before="0" w:after="283"/>
              <w:jc w:val="left"/>
              <w:rPr/>
            </w:pPr>
            <w:r>
              <w:rPr/>
              <w:t>%</w:t>
            </w:r>
          </w:p>
        </w:tc>
      </w:tr>
      <w:tr>
        <w:trPr/>
        <w:tc>
          <w:tcPr>
            <w:tcW w:w="2461" w:type="dxa"/>
            <w:tcBorders/>
            <w:shd w:fill="CCEEFF" w:val="clear"/>
            <w:vAlign w:val="center"/>
          </w:tcPr>
          <w:p>
            <w:pPr>
              <w:pStyle w:val="TableContents"/>
              <w:bidi w:val="0"/>
              <w:spacing w:before="0" w:after="0"/>
              <w:ind w:left="0" w:right="0" w:hanging="144"/>
              <w:jc w:val="left"/>
              <w:rPr/>
            </w:pPr>
            <w:r>
              <w:rPr/>
              <w:t xml:space="preserve">End of period student population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18,905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14,356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2,764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17,120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31.7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10.4</w:t>
            </w:r>
          </w:p>
        </w:tc>
        <w:tc>
          <w:tcPr>
            <w:tcW w:w="293"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ind w:left="0" w:right="0" w:hanging="0"/>
        <w:jc w:val="left"/>
        <w:rPr>
          <w:rFonts w:ascii="Times New Roman" w:hAnsi="Times New Roman"/>
          <w:sz w:val="20"/>
        </w:rPr>
      </w:pPr>
      <w:r>
        <w:rPr>
          <w:rFonts w:ascii="Times New Roman" w:hAnsi="Times New Roman"/>
          <w:i/>
          <w:sz w:val="20"/>
        </w:rPr>
        <w:t>*</w:t>
      </w:r>
      <w:r>
        <w:rPr>
          <w:rFonts w:ascii="Times New Roman" w:hAnsi="Times New Roman"/>
          <w:sz w:val="20"/>
        </w:rPr>
        <w:t> </w:t>
      </w:r>
      <w:r>
        <w:rPr>
          <w:rFonts w:ascii="Times New Roman" w:hAnsi="Times New Roman"/>
          <w:i/>
          <w:sz w:val="20"/>
        </w:rPr>
        <w:t>2025 figures include 2,764 student starts on July 1, 2025, to align with comparable student start activity in the current year during the last week of June 2026, returning to our typical start schedule.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99"/>
        <w:gridCol w:w="90"/>
        <w:gridCol w:w="170"/>
        <w:gridCol w:w="830"/>
        <w:gridCol w:w="185"/>
        <w:gridCol w:w="90"/>
        <w:gridCol w:w="170"/>
        <w:gridCol w:w="830"/>
        <w:gridCol w:w="185"/>
        <w:gridCol w:w="90"/>
        <w:gridCol w:w="170"/>
        <w:gridCol w:w="830"/>
        <w:gridCol w:w="185"/>
        <w:gridCol w:w="89"/>
        <w:gridCol w:w="170"/>
        <w:gridCol w:w="830"/>
        <w:gridCol w:w="185"/>
        <w:gridCol w:w="90"/>
        <w:gridCol w:w="170"/>
        <w:gridCol w:w="785"/>
        <w:gridCol w:w="185"/>
        <w:gridCol w:w="90"/>
        <w:gridCol w:w="170"/>
        <w:gridCol w:w="785"/>
        <w:gridCol w:w="232"/>
      </w:tblGrid>
      <w:tr>
        <w:trPr/>
        <w:tc>
          <w:tcPr>
            <w:tcW w:w="25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0"/>
              <w:ind w:left="0" w:right="0" w:hanging="0"/>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7114" w:type="dxa"/>
            <w:gridSpan w:val="21"/>
            <w:tcBorders>
              <w:bottom w:val="single" w:sz="12" w:space="0" w:color="000000"/>
            </w:tcBorders>
            <w:tcMar>
              <w:bottom w:w="28" w:type="dxa"/>
            </w:tcMar>
            <w:vAlign w:val="bottom"/>
          </w:tcPr>
          <w:p>
            <w:pPr>
              <w:pStyle w:val="TableContents"/>
              <w:bidi w:val="0"/>
              <w:spacing w:before="0" w:after="283"/>
              <w:jc w:val="center"/>
              <w:rPr/>
            </w:pPr>
            <w:r>
              <w:rPr>
                <w:b/>
                <w:spacing w:val="0"/>
                <w:sz w:val="20"/>
              </w:rPr>
              <w:t>Six Months Ended June 30,</w:t>
            </w:r>
            <w:r>
              <w:rPr/>
              <w:t xml:space="preserve"> </w:t>
            </w:r>
          </w:p>
        </w:tc>
        <w:tc>
          <w:tcPr>
            <w:tcW w:w="232" w:type="dxa"/>
            <w:tcBorders/>
            <w:vAlign w:val="bottom"/>
          </w:tcPr>
          <w:p>
            <w:pPr>
              <w:pStyle w:val="TableContents"/>
              <w:bidi w:val="0"/>
              <w:spacing w:before="0" w:after="283"/>
              <w:jc w:val="center"/>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0"/>
              <w:ind w:left="0" w:right="0" w:hanging="0"/>
              <w:jc w:val="left"/>
              <w:rPr/>
            </w:pPr>
            <w:r>
              <w:rPr/>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2105" w:type="dxa"/>
            <w:gridSpan w:val="5"/>
            <w:tcBorders>
              <w:bottom w:val="single" w:sz="12" w:space="0" w:color="000000"/>
            </w:tcBorders>
            <w:tcMar>
              <w:bottom w:w="28" w:type="dxa"/>
            </w:tcMar>
            <w:vAlign w:val="bottom"/>
          </w:tcPr>
          <w:p>
            <w:pPr>
              <w:pStyle w:val="TableContents"/>
              <w:bidi w:val="0"/>
              <w:spacing w:before="0" w:after="283"/>
              <w:jc w:val="center"/>
              <w:rPr/>
            </w:pPr>
            <w:r>
              <w:rPr>
                <w:b/>
                <w:spacing w:val="0"/>
                <w:sz w:val="20"/>
              </w:rPr>
              <w:t>Consolidated</w:t>
            </w:r>
            <w:r>
              <w:rPr/>
              <w:t xml:space="preserve"> </w:t>
            </w:r>
          </w:p>
        </w:tc>
        <w:tc>
          <w:tcPr>
            <w:tcW w:w="185"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0"/>
              <w:ind w:left="0" w:right="0" w:hanging="0"/>
              <w:jc w:val="center"/>
              <w:rPr/>
            </w:pPr>
            <w:r>
              <w:rPr/>
              <w:t> </w:t>
            </w:r>
          </w:p>
        </w:tc>
        <w:tc>
          <w:tcPr>
            <w:tcW w:w="17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2104" w:type="dxa"/>
            <w:gridSpan w:val="5"/>
            <w:tcBorders>
              <w:bottom w:val="single" w:sz="12" w:space="0" w:color="000000"/>
            </w:tcBorders>
            <w:tcMar>
              <w:bottom w:w="28" w:type="dxa"/>
            </w:tcMar>
            <w:vAlign w:val="bottom"/>
          </w:tcPr>
          <w:p>
            <w:pPr>
              <w:pStyle w:val="TableContents"/>
              <w:bidi w:val="0"/>
              <w:spacing w:before="0" w:after="283"/>
              <w:jc w:val="center"/>
              <w:rPr/>
            </w:pPr>
            <w:r>
              <w:rPr>
                <w:b/>
                <w:spacing w:val="0"/>
                <w:sz w:val="20"/>
              </w:rPr>
              <w:t>Campus Operations</w:t>
            </w:r>
            <w:r>
              <w:rPr/>
              <w:t xml:space="preserve"> </w:t>
            </w:r>
          </w:p>
        </w:tc>
        <w:tc>
          <w:tcPr>
            <w:tcW w:w="185"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15" w:type="dxa"/>
            <w:gridSpan w:val="5"/>
            <w:tcBorders>
              <w:bottom w:val="single" w:sz="12" w:space="0" w:color="000000"/>
            </w:tcBorders>
            <w:tcMar>
              <w:bottom w:w="28" w:type="dxa"/>
            </w:tcMar>
            <w:vAlign w:val="bottom"/>
          </w:tcPr>
          <w:p>
            <w:pPr>
              <w:pStyle w:val="TableContents"/>
              <w:bidi w:val="0"/>
              <w:spacing w:before="0" w:after="0"/>
              <w:ind w:left="0" w:right="0" w:hanging="0"/>
              <w:jc w:val="center"/>
              <w:rPr>
                <w:b/>
              </w:rPr>
            </w:pPr>
            <w:r>
              <w:rPr>
                <w:b/>
              </w:rPr>
              <w:t>Corporate</w:t>
            </w:r>
          </w:p>
        </w:tc>
        <w:tc>
          <w:tcPr>
            <w:tcW w:w="232" w:type="dxa"/>
            <w:tcBorders/>
            <w:vAlign w:val="bottom"/>
          </w:tcPr>
          <w:p>
            <w:pPr>
              <w:pStyle w:val="TableContents"/>
              <w:bidi w:val="0"/>
              <w:spacing w:before="0" w:after="283"/>
              <w:jc w:val="center"/>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2025</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2026</w:t>
            </w:r>
          </w:p>
        </w:tc>
        <w:tc>
          <w:tcPr>
            <w:tcW w:w="185" w:type="dxa"/>
            <w:tcBorders/>
            <w:vAlign w:val="center"/>
          </w:tcPr>
          <w:p>
            <w:pPr>
              <w:pStyle w:val="TableContents"/>
              <w:bidi w:val="0"/>
              <w:spacing w:before="0" w:after="283"/>
              <w:jc w:val="center"/>
              <w:rPr/>
            </w:pPr>
            <w:r>
              <w:rPr/>
              <w:t> </w:t>
            </w:r>
          </w:p>
        </w:tc>
        <w:tc>
          <w:tcPr>
            <w:tcW w:w="89"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2025</w:t>
            </w:r>
          </w:p>
        </w:tc>
        <w:tc>
          <w:tcPr>
            <w:tcW w:w="185" w:type="dxa"/>
            <w:tcBorders/>
            <w:vAlign w:val="center"/>
          </w:tcPr>
          <w:p>
            <w:pPr>
              <w:pStyle w:val="TableContents"/>
              <w:bidi w:val="0"/>
              <w:spacing w:before="0" w:after="283"/>
              <w:jc w:val="center"/>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0"/>
              <w:ind w:left="0" w:right="0" w:hanging="0"/>
              <w:jc w:val="center"/>
              <w:rPr>
                <w:b/>
              </w:rPr>
            </w:pPr>
            <w:r>
              <w:rPr>
                <w:b/>
              </w:rPr>
              <w:t>2025</w:t>
            </w:r>
          </w:p>
        </w:tc>
        <w:tc>
          <w:tcPr>
            <w:tcW w:w="232" w:type="dxa"/>
            <w:tcBorders/>
            <w:vAlign w:val="center"/>
          </w:tcPr>
          <w:p>
            <w:pPr>
              <w:pStyle w:val="TableContents"/>
              <w:bidi w:val="0"/>
              <w:spacing w:before="0" w:after="283"/>
              <w:jc w:val="center"/>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REVENUE</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286,518</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233,980</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286,518</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233,980</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r>
              <w:rPr/>
              <w:t xml:space="preserve">- </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232"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COSTS AND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Instructional</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55,776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46,559</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55,776</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46,559</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Books and tools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20,211</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14,477</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20,211</w:t>
            </w:r>
          </w:p>
        </w:tc>
        <w:tc>
          <w:tcPr>
            <w:tcW w:w="185"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14,477</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r>
              <w:rPr/>
              <w:t xml:space="preserve">- </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p>
        </w:tc>
        <w:tc>
          <w:tcPr>
            <w:tcW w:w="232" w:type="dxa"/>
            <w:tcBorders/>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Facilities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26,883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25,018</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26,883</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25,018</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Depreciation and amortization</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15,155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8,145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15,155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8,145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 xml:space="preserve">  </w:t>
            </w:r>
            <w:r>
              <w:rPr/>
              <w:t xml:space="preserve">- </w:t>
            </w:r>
          </w:p>
        </w:tc>
        <w:tc>
          <w:tcPr>
            <w:tcW w:w="185" w:type="dxa"/>
            <w:tcBorders/>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 xml:space="preserve">- </w:t>
            </w:r>
          </w:p>
        </w:tc>
        <w:tc>
          <w:tcPr>
            <w:tcW w:w="232"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0"/>
              <w:jc w:val="left"/>
              <w:rPr/>
            </w:pPr>
            <w:r>
              <w:rPr/>
              <w:t>Educational services and facilities</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118,025</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94,199</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118,025</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94,199</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r>
              <w:rPr/>
              <w:t xml:space="preserve">- </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232" w:type="dxa"/>
            <w:tcBorders>
              <w:bottom w:val="single" w:sz="12" w:space="0" w:color="000000"/>
            </w:tcBorders>
            <w:shd w:fill="CCEEFF" w:val="clear"/>
            <w:tcMar>
              <w:bottom w:w="28" w:type="dxa"/>
            </w:tcM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Sales and marketing</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48,642</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38,573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48,642</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38,573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Student services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15,259</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12,601</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15,259</w:t>
            </w:r>
          </w:p>
        </w:tc>
        <w:tc>
          <w:tcPr>
            <w:tcW w:w="185"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12,601</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r>
              <w:rPr/>
              <w:t xml:space="preserve">- </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xml:space="preserve">- </w:t>
            </w:r>
          </w:p>
        </w:tc>
        <w:tc>
          <w:tcPr>
            <w:tcW w:w="232" w:type="dxa"/>
            <w:tcBorders/>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Provision for credit losses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29,717</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25,012</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29,717</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830" w:type="dxa"/>
            <w:tcBorders/>
            <w:shd w:fill="CCEEFF" w:val="clear"/>
            <w:vAlign w:val="bottom"/>
          </w:tcPr>
          <w:p>
            <w:pPr>
              <w:pStyle w:val="TableContents"/>
              <w:bidi w:val="0"/>
              <w:spacing w:before="0" w:after="0"/>
              <w:ind w:left="0" w:right="0" w:hanging="0"/>
              <w:jc w:val="right"/>
              <w:rPr/>
            </w:pPr>
            <w:r>
              <w:rPr/>
              <w:t>24,975</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xml:space="preserve">  </w:t>
            </w: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37</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144"/>
              <w:jc w:val="left"/>
              <w:rPr/>
            </w:pPr>
            <w:r>
              <w:rPr/>
              <w:t>Administrative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64,917</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57,452</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25,582</w:t>
            </w:r>
          </w:p>
        </w:tc>
        <w:tc>
          <w:tcPr>
            <w:tcW w:w="185"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830" w:type="dxa"/>
            <w:tcBorders/>
            <w:vAlign w:val="bottom"/>
          </w:tcPr>
          <w:p>
            <w:pPr>
              <w:pStyle w:val="TableContents"/>
              <w:bidi w:val="0"/>
              <w:spacing w:before="0" w:after="0"/>
              <w:ind w:left="0" w:right="0" w:hanging="0"/>
              <w:jc w:val="right"/>
              <w:rPr/>
            </w:pPr>
            <w:r>
              <w:rPr/>
              <w:t>23,160</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39,335</w:t>
            </w:r>
          </w:p>
        </w:tc>
        <w:tc>
          <w:tcPr>
            <w:tcW w:w="185"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34,292</w:t>
            </w:r>
          </w:p>
        </w:tc>
        <w:tc>
          <w:tcPr>
            <w:tcW w:w="232" w:type="dxa"/>
            <w:tcBorders/>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Depreciation and amortization</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266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327</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266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327</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0"/>
              <w:jc w:val="left"/>
              <w:rPr/>
            </w:pPr>
            <w:r>
              <w:rPr/>
              <w:t>Selling, general and administrative</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158,801</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133,965</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119,200</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99,309</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39,601</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34,656</w:t>
            </w:r>
          </w:p>
        </w:tc>
        <w:tc>
          <w:tcPr>
            <w:tcW w:w="232"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0"/>
              <w:jc w:val="left"/>
              <w:rPr/>
            </w:pPr>
            <w:r>
              <w:rPr/>
              <w:t>(Gain) loss on sale of assets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(27</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(476</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(4</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(510</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(23</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ind w:left="0" w:right="0" w:hanging="0"/>
              <w:jc w:val="right"/>
              <w:rPr/>
            </w:pPr>
            <w:r>
              <w:rPr/>
              <w:t>34</w:t>
            </w:r>
          </w:p>
        </w:tc>
        <w:tc>
          <w:tcPr>
            <w:tcW w:w="232" w:type="dxa"/>
            <w:tcBorders/>
            <w:shd w:fill="CCEEFF" w:val="clear"/>
            <w:vAlign w:val="bottom"/>
          </w:tcPr>
          <w:p>
            <w:pPr>
              <w:pStyle w:val="TableContents"/>
              <w:bidi w:val="0"/>
              <w:spacing w:before="0" w:after="0"/>
              <w:jc w:val="left"/>
              <w:rPr/>
            </w:pPr>
            <w:r>
              <w:rPr/>
              <w:t> </w:t>
            </w:r>
          </w:p>
        </w:tc>
      </w:tr>
      <w:tr>
        <w:trPr/>
        <w:tc>
          <w:tcPr>
            <w:tcW w:w="2599" w:type="dxa"/>
            <w:tcBorders/>
            <w:vAlign w:val="bottom"/>
          </w:tcPr>
          <w:p>
            <w:pPr>
              <w:pStyle w:val="TableContents"/>
              <w:bidi w:val="0"/>
              <w:spacing w:before="0" w:after="0"/>
              <w:ind w:left="144" w:right="0" w:hanging="0"/>
              <w:jc w:val="left"/>
              <w:rPr/>
            </w:pPr>
            <w:r>
              <w:rPr/>
              <w:t>Total costs and expenses</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276,799</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227,688</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237,221</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ind w:left="0" w:right="0" w:hanging="0"/>
              <w:jc w:val="right"/>
              <w:rPr/>
            </w:pPr>
            <w:r>
              <w:rPr/>
              <w:t>192,998</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39,578</w:t>
            </w:r>
          </w:p>
        </w:tc>
        <w:tc>
          <w:tcPr>
            <w:tcW w:w="185" w:type="dxa"/>
            <w:tcBorders>
              <w:bottom w:val="single" w:sz="12" w:space="0" w:color="000000"/>
            </w:tcBorders>
            <w:tcMar>
              <w:bottom w:w="28" w:type="dxa"/>
            </w:tcMar>
            <w:vAlign w:val="bottom"/>
          </w:tcPr>
          <w:p>
            <w:pPr>
              <w:pStyle w:val="TableContents"/>
              <w:bidi w:val="0"/>
              <w:spacing w:before="0" w:after="0"/>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ind w:left="0" w:right="0" w:hanging="0"/>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ind w:left="0" w:right="0" w:hanging="0"/>
              <w:jc w:val="right"/>
              <w:rPr/>
            </w:pPr>
            <w:r>
              <w:rPr/>
              <w:t>34,690</w:t>
            </w:r>
          </w:p>
        </w:tc>
        <w:tc>
          <w:tcPr>
            <w:tcW w:w="232" w:type="dxa"/>
            <w:tcBorders>
              <w:bottom w:val="single" w:sz="12" w:space="0" w:color="000000"/>
            </w:tcBorders>
            <w:tcMar>
              <w:bottom w:w="28" w:type="dxa"/>
            </w:tcMar>
            <w:vAlign w:val="bottom"/>
          </w:tcPr>
          <w:p>
            <w:pPr>
              <w:pStyle w:val="TableContents"/>
              <w:bidi w:val="0"/>
              <w:spacing w:before="0" w:after="0"/>
              <w:jc w:val="left"/>
              <w:rPr/>
            </w:pPr>
            <w:r>
              <w:rPr/>
              <w:t> </w:t>
            </w:r>
          </w:p>
        </w:tc>
      </w:tr>
      <w:tr>
        <w:trPr/>
        <w:tc>
          <w:tcPr>
            <w:tcW w:w="2599" w:type="dxa"/>
            <w:tcBorders/>
            <w:shd w:fill="CCEEFF" w:val="clear"/>
            <w:vAlign w:val="bottom"/>
          </w:tcPr>
          <w:p>
            <w:pPr>
              <w:pStyle w:val="TableContents"/>
              <w:bidi w:val="0"/>
              <w:spacing w:before="0" w:after="0"/>
              <w:ind w:left="144" w:right="0" w:hanging="144"/>
              <w:jc w:val="left"/>
              <w:rPr/>
            </w:pPr>
            <w:r>
              <w:rPr/>
              <w:t>OPERATING INCOME (LOSS)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9,719</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6,292</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49,297</w:t>
            </w:r>
          </w:p>
        </w:tc>
        <w:tc>
          <w:tcPr>
            <w:tcW w:w="185" w:type="dxa"/>
            <w:tcBorders/>
            <w:shd w:fill="CCEEFF" w:val="clear"/>
            <w:vAlign w:val="bottom"/>
          </w:tcPr>
          <w:p>
            <w:pPr>
              <w:pStyle w:val="TableContents"/>
              <w:bidi w:val="0"/>
              <w:spacing w:before="0" w:after="0"/>
              <w:jc w:val="left"/>
              <w:rPr/>
            </w:pPr>
            <w:r>
              <w:rPr/>
              <w:t> </w:t>
            </w:r>
          </w:p>
        </w:tc>
        <w:tc>
          <w:tcPr>
            <w:tcW w:w="89"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40,982</w:t>
            </w:r>
          </w:p>
        </w:tc>
        <w:tc>
          <w:tcPr>
            <w:tcW w:w="18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785"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(39,578</w:t>
            </w:r>
          </w:p>
        </w:tc>
        <w:tc>
          <w:tcPr>
            <w:tcW w:w="185"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ind w:left="0" w:right="0" w:hanging="0"/>
              <w:jc w:val="left"/>
              <w:rPr/>
            </w:pPr>
            <w:r>
              <w:rPr/>
              <w:t>$</w:t>
            </w:r>
          </w:p>
        </w:tc>
        <w:tc>
          <w:tcPr>
            <w:tcW w:w="785" w:type="dxa"/>
            <w:tcBorders>
              <w:bottom w:val="double" w:sz="8" w:space="0" w:color="000000"/>
            </w:tcBorders>
            <w:shd w:fill="CCEEFF" w:val="clear"/>
            <w:tcMar>
              <w:bottom w:w="28" w:type="dxa"/>
            </w:tcMar>
            <w:vAlign w:val="bottom"/>
          </w:tcPr>
          <w:p>
            <w:pPr>
              <w:pStyle w:val="TableContents"/>
              <w:bidi w:val="0"/>
              <w:spacing w:before="0" w:after="0"/>
              <w:ind w:left="0" w:right="0" w:hanging="0"/>
              <w:jc w:val="right"/>
              <w:rPr/>
            </w:pPr>
            <w:r>
              <w:rPr/>
              <w:t>(34,690</w:t>
            </w:r>
          </w:p>
        </w:tc>
        <w:tc>
          <w:tcPr>
            <w:tcW w:w="232" w:type="dxa"/>
            <w:tcBorders/>
            <w:shd w:fill="CCEEFF" w:val="clear"/>
            <w:vAlign w:val="bottom"/>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24</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i/>
          <w:sz w:val="20"/>
        </w:rPr>
        <w:t>Educational services and facilities expense.</w:t>
      </w:r>
      <w:r>
        <w:rPr>
          <w:rFonts w:ascii="Times New Roman" w:hAnsi="Times New Roman"/>
          <w:sz w:val="20"/>
        </w:rPr>
        <w:t xml:space="preserve"> Educational services and facilities expense increased by $23.8 million, or 25.3%, to $118.0 million for the six months ended June 30, 2026, compared to $94.2 million for the prior year comparable period. This includes a $5.7 million increase in costs related to our new campuses in Houston, Hicksville, and Rowlett.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primary driver of the increase was attributable to higher costs associated with supporting a larger student population. The remaining increase was attributable to higher depreciation expense, largely resulting from capital investments to support our growth initiatives.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Educational services and facilities expense as a percentage of revenue increased to 41.2% from 40.3% in the prior year comparable period.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 xml:space="preserve">Selling, general and administrative expense. </w:t>
      </w:r>
      <w:r>
        <w:rPr>
          <w:rFonts w:ascii="Times New Roman" w:hAnsi="Times New Roman"/>
          <w:sz w:val="20"/>
        </w:rPr>
        <w:t xml:space="preserve">Selling, general and administrative expense increased $24.8 million, or 18.5%, to $158.8 million for the six months ended June 30, 2026, compared to $134.0 million for the prior year comparable period. This includes a $4.0 million increase in costs related to our new campuses in Houston, Hicksville, and Rowlett.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Selling, general and administrative expenses continued to decline as a percentage of revenue to 55.4% for the six months ended June 30, 2026, compared to 57.3% for the same period in 2025.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Sales and marketing expense increased by $10.1 million, or 26.1%, including $2.4 million related to our new campuses, due to higher student acquisition costs.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 xml:space="preserve">Provision for credit losses. </w:t>
      </w:r>
      <w:r>
        <w:rPr>
          <w:rFonts w:ascii="Times New Roman" w:hAnsi="Times New Roman"/>
          <w:sz w:val="20"/>
        </w:rPr>
        <w:t xml:space="preserve">While the provision increased in absolute terms, it declined as a percentage of revenue from 10.7% to 10.4% year-over-year reflecting continuing efficiencies from our financial aid processes and stronger collections.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 xml:space="preserve">Net interest expense. </w:t>
      </w:r>
      <w:r>
        <w:rPr>
          <w:rFonts w:ascii="Times New Roman" w:hAnsi="Times New Roman"/>
          <w:sz w:val="20"/>
        </w:rPr>
        <w:t xml:space="preserve">Net interest expense was $1.9 million for the six months ended June 30, 2026, compared to net interest expense of $1.4 million for the six months ended June 30, 2025, primarily driven by higher interest expense on borrowings.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 xml:space="preserve">Income taxes. </w:t>
      </w:r>
      <w:r>
        <w:rPr>
          <w:rFonts w:ascii="Times New Roman" w:hAnsi="Times New Roman"/>
          <w:sz w:val="20"/>
        </w:rPr>
        <w:t>Income tax provision was $1.6 million for the six months ended June 30, 2026, representing an effective tax rate of 19.8% of pre-tax income, compared to an income tax provision of </w:t>
      </w:r>
      <w:r>
        <w:rPr>
          <w:rFonts w:ascii="Times New Roman" w:hAnsi="Times New Roman"/>
          <w:spacing w:val="0"/>
          <w:sz w:val="20"/>
        </w:rPr>
        <w:t>$1.4 million</w:t>
      </w:r>
      <w:r>
        <w:rPr>
          <w:rFonts w:ascii="Times New Roman" w:hAnsi="Times New Roman"/>
          <w:sz w:val="20"/>
        </w:rPr>
        <w:t xml:space="preserve"> and an effective tax rate of 28.6% in the prior year comparable period.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We evaluate performance based on operating results. Adjustments to reconcile segment results with consolidated results are included in the caption “Corporate,” which primarily includes unallocated corporate activity.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u w:val="single"/>
        </w:rPr>
        <w:t>Corporate and Other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This category includes unallocated expenses incurred on behalf of the entire Company. Corporate and other expenses were $39.6 million for the six months ended June 30, 2026, compared to $34.7 million in the prior year comparable period. The increase was primarily driven by higher salaries and benefits to support a larger student population and the execution of our growth initiatives.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u w:val="single"/>
        </w:rPr>
        <w:t>LIQUIDITY AND CAPITAL RESOURCES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Our primary capital requirements are for maintenance and expansion of our facilities and the development of new programs. Our principal source of liquidity has been cash provided by operating activities. The following chart summarizes the principal elements of our cash flow for each of the six months ended June 30, 2026, and 2025: </w:t>
      </w:r>
    </w:p>
    <w:p>
      <w:pPr>
        <w:pStyle w:val="TextBody"/>
        <w:bidi w:val="0"/>
        <w:spacing w:before="0" w:after="0"/>
        <w:jc w:val="left"/>
        <w:rPr/>
      </w:pPr>
      <w:r>
        <w:rPr/>
        <w:t xml:space="preserve">  </w:t>
      </w:r>
    </w:p>
    <w:tbl>
      <w:tblPr>
        <w:tblW w:w="7370" w:type="dxa"/>
        <w:jc w:val="left"/>
        <w:tblInd w:w="0" w:type="dxa"/>
        <w:tblLayout w:type="fixed"/>
        <w:tblCellMar>
          <w:top w:w="0" w:type="dxa"/>
          <w:left w:w="0" w:type="dxa"/>
          <w:bottom w:w="0" w:type="dxa"/>
          <w:right w:w="0" w:type="dxa"/>
        </w:tblCellMar>
      </w:tblPr>
      <w:tblGrid>
        <w:gridCol w:w="4865"/>
        <w:gridCol w:w="90"/>
        <w:gridCol w:w="170"/>
        <w:gridCol w:w="785"/>
        <w:gridCol w:w="185"/>
        <w:gridCol w:w="90"/>
        <w:gridCol w:w="170"/>
        <w:gridCol w:w="785"/>
        <w:gridCol w:w="230"/>
      </w:tblGrid>
      <w:tr>
        <w:trPr/>
        <w:tc>
          <w:tcPr>
            <w:tcW w:w="4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15"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sz w:val="20"/>
              </w:rPr>
              <w:t>Six Months Ended </w:t>
              <w:br/>
              <w:t>June 30,</w:t>
            </w:r>
            <w:r>
              <w:rPr/>
              <w:t xml:space="preserve"> </w:t>
            </w:r>
          </w:p>
        </w:tc>
        <w:tc>
          <w:tcPr>
            <w:tcW w:w="230" w:type="dxa"/>
            <w:tcBorders/>
            <w:vAlign w:val="center"/>
          </w:tcPr>
          <w:p>
            <w:pPr>
              <w:pStyle w:val="TableContents"/>
              <w:bidi w:val="0"/>
              <w:spacing w:before="0" w:after="283"/>
              <w:jc w:val="center"/>
              <w:rPr/>
            </w:pPr>
            <w:r>
              <w:rPr/>
              <w:t> </w:t>
            </w:r>
          </w:p>
        </w:tc>
      </w:tr>
      <w:tr>
        <w:trPr/>
        <w:tc>
          <w:tcPr>
            <w:tcW w:w="4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0" w:type="dxa"/>
            <w:tcBorders/>
            <w:vAlign w:val="center"/>
          </w:tcPr>
          <w:p>
            <w:pPr>
              <w:pStyle w:val="TableContents"/>
              <w:bidi w:val="0"/>
              <w:spacing w:before="0" w:after="283"/>
              <w:jc w:val="center"/>
              <w:rPr/>
            </w:pPr>
            <w:r>
              <w:rPr/>
              <w:t> </w:t>
            </w:r>
          </w:p>
        </w:tc>
      </w:tr>
      <w:tr>
        <w:trPr/>
        <w:tc>
          <w:tcPr>
            <w:tcW w:w="4865" w:type="dxa"/>
            <w:tcBorders/>
            <w:shd w:fill="CCEEFF" w:val="clear"/>
            <w:vAlign w:val="center"/>
          </w:tcPr>
          <w:p>
            <w:pPr>
              <w:pStyle w:val="TableContents"/>
              <w:bidi w:val="0"/>
              <w:spacing w:before="0" w:after="0"/>
              <w:ind w:left="0" w:right="0" w:hanging="144"/>
              <w:jc w:val="left"/>
              <w:rPr/>
            </w:pPr>
            <w:r>
              <w:rPr/>
              <w:t xml:space="preserve">Net cash provided by (used in) operating activities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26,633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(8,079</w:t>
            </w:r>
          </w:p>
        </w:tc>
        <w:tc>
          <w:tcPr>
            <w:tcW w:w="230"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ind w:left="0" w:right="0" w:hanging="144"/>
              <w:jc w:val="left"/>
              <w:rPr/>
            </w:pPr>
            <w:r>
              <w:rPr/>
              <w:t xml:space="preserve">Net cash used in investing activities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(29,105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(45,772</w:t>
            </w:r>
          </w:p>
        </w:tc>
        <w:tc>
          <w:tcPr>
            <w:tcW w:w="230"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144"/>
              <w:jc w:val="left"/>
              <w:rPr/>
            </w:pPr>
            <w:r>
              <w:rPr/>
              <w:t xml:space="preserve">Net cash provided by financing activities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18,131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11,279</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Company had $44.2 million in cash and cash equivalents, compared to $16.7 million in cash and cash equivalents as of June 30, 2025. The change in cash position from the prior year comparable period was primarily driven by higher net cash provided by operating activities, along with increased net borrowings under the Company's financing arrangements, partially offset by continued capital expenditures related to campus expansion.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25</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sz w:val="20"/>
        </w:rPr>
        <w:t xml:space="preserve">Our primary source of cash is tuition collected from our students. The majority of students enrolled at our schools rely on funds received under various government-sponsored student financial aid programs to pay a substantial portion of their tuition and other education-related expenses. The most significant source of student financing is Title IV Programs, which represented approximately 85% of our cash receipts relating to revenues in 2025. Pursuant to applicable regulations, students must apply for a new loan for each academic period. Federal regulations dictate the timing of disbursements of funds under Title IV Programs and loan funds are generally provided by lenders in two disbursements for each academic year. The first disbursement is usually received approximately 31 days after the start of a student’s academic year and the second disbursement is typically received at the beginning of the sixteenth week from the start of the student's academic year. Certain types of grants and other funding are not subject to a 31-day delay. In certain instances, if a student withdraws from a program prior to a specified date, any paid but unearned tuition or prorated Title IV Program financial aid is refunded according to federal, state and accrediting agency standards.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a result of the significant amount of Title IV Program funds received by our students, we are highly dependent on these funds to operate our business. Any reduction in the level of Title IV Program funds that our students are eligible to receive for tuition payment to us or any restriction on our eligibility to receive Title IV Program funds would have a significant impact on our operations and our financial condition. For more information, see Part I, Item 1A. “Risk Factors - Risks Related to Our Industry” of our Form 10-K.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Operating Activities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Operating cash flow is generated primarily from cash received from our students, offset by changes in working capital demands. Working capital can vary at any point in time based on several factors including seasonality, timing of cash receipts and payments and vendor payment terms.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Net cash provided by operating activities for the six months ended June 30, 2026 was $26.7 million, compared to net cash used in operating activities of $8.1 million in the prior year comparable period, primarily driven by favorable changes in working capital, depreciation and amortization, </w:t>
      </w:r>
      <w:r>
        <w:rPr>
          <w:rFonts w:ascii="Times New Roman" w:hAnsi="Times New Roman"/>
          <w:spacing w:val="0"/>
          <w:sz w:val="20"/>
        </w:rPr>
        <w:t>and </w:t>
      </w:r>
      <w:r>
        <w:rPr>
          <w:rFonts w:ascii="Times New Roman" w:hAnsi="Times New Roman"/>
          <w:sz w:val="20"/>
        </w:rPr>
        <w:t xml:space="preserve">the provision for credit losses, as well as higher net income.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Investing Activities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Net cash used in investing activities was $29.1 million for the six months ended June 30, 2026 compared to $45.8 million in the prior year comparable period, primarily related to capital expenditures associated with growth initiatives.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Capital expenditures for the six months ended June 30, 2026 were $29.1 million compared to $46.3 million in the prior year comparable period. The decrease resulted from a shift in the timing of planned capital expenditures which includes the buildout for the new Rowlett, Texas and Hicksville, New York campuses. In addition, we continue to invest to expand programs at existing campuses that demonstrate high market demand and successful student outcomes. We expect to fund future capital expenditures with cash generated from operating activities, cash on hand, and utilization of the credit facility.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Financing Activities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Net cash provided by financing activities for the six months ended June 30, 2026 was $18.1 million, compared to $11.3 million in the prior year comparable period, primarily due to an increase in net borrowings in the current period, partially offset by higher net share settlements for equity-based compensation.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Credit Facility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Company maintains a revolving credit facility to support working capital and general corporate purposes. In April 2026, the Company entered into an amended and restated credit agreement, which increased total borrowing capacity from $60.0 million to $125.0 million and extended the maturity of the credit facility from March 7, 2028 to April 11, 2031.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Company had $26.0 million outstanding under the credit facility. For additional information regarding the terms of the facility, see Note 7, Long-Term Debt.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Melrose Park Property Acquisition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On July 7, 2026, the Company completed the acquisition of our Melrose Park, Illinois campus building, funded primarily through a mortgage loan, converting the location from a leased to an owned facility. See Note 13, Subsequent Events, to the Condensed Consolidated Financial Statements for further discussion. We do not expect this transaction to have a material impact on our future results of operations.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26</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Contractual Obligations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Current portion of Long-Term Debt, Long-Term Debt and Lease Commitments.</w:t>
      </w:r>
      <w:r>
        <w:rPr>
          <w:rFonts w:ascii="Times New Roman" w:hAnsi="Times New Roman"/>
          <w:sz w:val="20"/>
        </w:rPr>
        <w:t xml:space="preserve"> As of June 30, 2026, the Company had $26.0 million in debt outstanding under the revolving credit facility. The Company leases offices, educational facilities and various items of equipment for varying periods through the year 2045 at basic annual rental rates (excluding taxes, insurance, and other expenses under certain leases).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Company had outstanding loan principal commitments to our active students of $62.1 million. These are institutional loans, and no cash is advanced to students. The full loan amount is not guaranteed unless the student completes the program. The institutional loans are considered commitments because the students are required to fund their education using these funds and they are not reported on our financial statements.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u w:val="single"/>
        </w:rPr>
        <w:t>Regulatory Updates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Negotiated Rulemaking</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 2025, the DOE announced its intention to establish two negotiated rulemaking committees: the Reimagining and Improving Student Education (RISE) Committee and the Access through Demand-driven Workforce Pell (AHEAD) Committee. The RISE Committee considered changes to federal student loan programs and the Accountability in Higher Education, and the AHEAD Committee considered changes to institutional and programmatic accountability, the Pell Grant Program, and Title IV Programs. This rulemaking was necessary to implement recent statutory changes to the Title IV and HEA programs included in the One Big Beautiful Bill Act ("OBBB Act") as well as to propose other changes. See 10-K “Regulatory Environment – Negotiated Rulemaking” and “Regulatory Environment – Gainful Employment and Accountability.”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proposed RISE regulations were subject to a public notice and comment period, which ended March 2, 2026, and the DOE published the final version of the regulations on May 1, 2026, with a general effective date of July 1, 2026. Among other topics, the new regulations place a $20,000 annual limit and a $65,000 aggregate limit on PLUS loans that parents may borrow for undergraduate programs and impose a requirement to prorate loans to students attending on a less than full-time basis. We are evaluating these and other new limits and cannot currently predict the extent to which these new limits may impact our schools, programs, enrollments, and revenues, but the reduction in availability of funding could impact the ability of some of our prospective students to enroll and finance their education without access to loans in excess of the new loan limits.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AHEAD Committee reached a consensus on two sets of proposed regulations on December 12, 2025, and January 9, 2026, respectively. The first set of proposed regulations implements the new Workforce Pell program authorized by the OBBB Act. See 10-K at “Regulatory Environment – Negotiated Rulemaking.” Under these regulations, short-term workforce programs (as defined in the regulations) will be eligible to disburse Pell Grants if they meet various requirements such as applicable program length requirements, certain limitations on outsourcing instruction to ineligible providers, and obtaining requisite DOE and state approval in the state in which the institution is located.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second set of proposed regulations would establish new uniform accountability requirements applicable to all educational programs across all education sectors. See 10-K at “Regulatory Environment – Negotiated Rulemaking” and “Regulatory Environment – Gainful Employment and Accountability.” The DOE published the regulations in final form on July 1, 2026. The regulations eliminate the “debt-to-earnings” measures under the gainful employment regulations. Instead, the regulations establish and describe an earnings premium framework for undergraduate certificate and degree programs that would compare graduate earnings to those of holders of high school diplomas and for graduate programs that would compare graduate earnings to those of bachelor’s degree holders. Under the framework described in the regulations, an educational program would lose access to the Direct Loan program if it fails to achieve a positive earnings premium for two out of three consecutive years.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regulations outlining the new accountability framework, known as the Student Tuition and Transparency System (“STATS”) and Earnings Accountability rule, address several other topics including, for example, the complex rules for the earnings calculations and premiums, data and calculation appeals, warning and disclosure requirements for programs that fail the earnings test and that are at risk of losing eligibility, sanctions for programs that fail the earnings tests, informational reporting requirements, requirements for DOE to publicly disclose certain institutional data, requirements for institutions to certify program compliance, and provisional certification requirements for institutions with failing programs exceeding new administrative capability thresholds. The regulations have a general effective date of July 1, 2027, with some portions taking effect on August 31, 2026. The first earnings test calculations are expected to occur in early 2027, and July 1, 2028, is expected to be the first date on which a program could fail the earnings test for two consecutive years.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27</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sz w:val="20"/>
        </w:rPr>
        <w:t xml:space="preserve">We cannot predict how our educational programs will perform under the new metrics, but our failure to comply with the new regulations, including the failure of some of our educational programs to comply with the earnings tests, and the potential loss of Direct Loan and potentially all Title IV eligibility for impacted programs, could have a significant impact on our business and results of operations. We cannot predict whether the DOE could publish amended regulations in the future under current or future leadership that make the accountability regulations stricter or seek to reinstitute the old gainful employment requirements. We also cannot predict the outcome or impact of any litigation that might seek to challenge the legality and enforceability of the final regulations.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Seasonality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Our revenue and operating results normally fluctuate as a result of seasonal variations in our business, principally due to changes in total student population. Student population varies due to new student enrollments, graduations and student attrition. Historically, our schools have had lower student populations in our first and second quarters and we have experienced larger class starts in the third quarter and higher student attrition in the first half of the year. The growth that we generally experience in the second half of the year is largely dependent on a successful high school recruiting season. We recruit high school students several months ahead of their scheduled start dates and, as a consequence, while we have visibility on the number of students who have expressed interest in attending our schools, we cannot predict with certainty the actual number of new student enrollments in any given year and the related impact on revenue. Our expenses, however, typically do not vary significantly over the course of the year with changes in our student population and revenue. </w:t>
      </w:r>
    </w:p>
    <w:p>
      <w:pPr>
        <w:pStyle w:val="TextBody"/>
        <w:bidi w:val="0"/>
        <w:spacing w:before="0" w:after="0"/>
        <w:jc w:val="left"/>
        <w:rPr/>
      </w:pPr>
      <w:r>
        <w:rPr/>
        <w:t xml:space="preserve">  </w:t>
      </w:r>
    </w:p>
    <w:p>
      <w:pPr>
        <w:pStyle w:val="TextBody"/>
        <w:bidi w:val="0"/>
        <w:spacing w:before="0" w:after="0"/>
        <w:ind w:left="0" w:right="0" w:hanging="900"/>
        <w:jc w:val="left"/>
        <w:rPr>
          <w:rFonts w:ascii="Times New Roman" w:hAnsi="Times New Roman"/>
          <w:sz w:val="20"/>
        </w:rPr>
      </w:pPr>
      <w:bookmarkStart w:id="13" w:name="QUANTITATIVE"/>
      <w:bookmarkEnd w:id="13"/>
      <w:r>
        <w:rPr>
          <w:rFonts w:ascii="Times New Roman" w:hAnsi="Times New Roman"/>
          <w:b/>
          <w:sz w:val="20"/>
        </w:rPr>
        <w:t>QUANTITATIVE AND QUALITATIVE DISCLOSURES ABOUT MARKET RISK</w:t>
      </w:r>
      <w:r>
        <w:rPr>
          <w:rFonts w:ascii="Times New Roman" w:hAnsi="Times New Roman"/>
          <w:sz w:val="20"/>
        </w:rPr>
        <w:t xml:space="preserve">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5715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sz w:val="20"/>
                              </w:rPr>
                              <w:t>Item 3.</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There have been no material changes in our market risk exposure during the three months ended June 30, 2026. See Part II Item 7A. “Quantitative and Qualitative Disclosures About Market Risk” of our Form 10-K. </w:t>
      </w:r>
    </w:p>
    <w:p>
      <w:pPr>
        <w:pStyle w:val="TextBody"/>
        <w:bidi w:val="0"/>
        <w:spacing w:before="0" w:after="0"/>
        <w:jc w:val="left"/>
        <w:rPr/>
      </w:pPr>
      <w:r>
        <w:rPr/>
        <w:t> </w:t>
      </w:r>
    </w:p>
    <w:p>
      <w:pPr>
        <w:pStyle w:val="TextBody"/>
        <w:bidi w:val="0"/>
        <w:spacing w:before="0" w:after="0"/>
        <w:ind w:left="0" w:right="0" w:hanging="900"/>
        <w:jc w:val="left"/>
        <w:rPr>
          <w:rFonts w:ascii="Times New Roman" w:hAnsi="Times New Roman"/>
          <w:sz w:val="20"/>
        </w:rPr>
      </w:pPr>
      <w:bookmarkStart w:id="14" w:name="CONTROLS"/>
      <w:bookmarkEnd w:id="14"/>
      <w:r>
        <w:rPr>
          <w:rFonts w:ascii="Times New Roman" w:hAnsi="Times New Roman"/>
          <w:b/>
          <w:sz w:val="20"/>
        </w:rPr>
        <w:t>CONTROLS AND PROCEDURES</w:t>
      </w:r>
      <w:r>
        <w:rPr>
          <w:rFonts w:ascii="Times New Roman" w:hAnsi="Times New Roman"/>
          <w:sz w:val="20"/>
        </w:rPr>
        <w:t xml:space="preserve">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5715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sz w:val="20"/>
                              </w:rPr>
                              <w:t>Item 4.</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Evaluation of Disclosure Controls and Procedures.</w:t>
      </w:r>
      <w:r>
        <w:rPr>
          <w:rFonts w:ascii="Times New Roman" w:hAnsi="Times New Roman"/>
          <w:sz w:val="20"/>
        </w:rPr>
        <w:t xml:space="preserve"> Our Chief Executive Officer and Chief Financial Officer, after evaluating the effectiveness of our disclosure controls and procedures (as defined in Securities Exchange Act Rule 13a-15(e)) as of the end of the quarterly period covered by this Form 10-Q, have concluded that our disclosure controls and procedures are adequate and effective to reasonably ensure that material information required to be disclosed by us in the reports that we file or submit under the Exchange Act is recorded, processed, summarized and reported within the time periods specified by the SEC’s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Changes in Internal Control Over Financial Reporting.</w:t>
      </w:r>
      <w:r>
        <w:rPr>
          <w:rFonts w:ascii="Times New Roman" w:hAnsi="Times New Roman"/>
          <w:sz w:val="20"/>
        </w:rPr>
        <w:t xml:space="preserve"> There were no changes made during our most recently completed fiscal quarter in our internal control over financial reporting that have materially affected, or are reasonably likely to materially affect, our internal control over financial reporting.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bookmarkStart w:id="15" w:name="OTHER_INFORMATION"/>
      <w:bookmarkEnd w:id="15"/>
      <w:r>
        <w:rPr>
          <w:rFonts w:ascii="Times New Roman" w:hAnsi="Times New Roman"/>
          <w:b/>
          <w:sz w:val="20"/>
        </w:rPr>
        <w:t>PART II. OTHER INFORMATION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900"/>
        <w:jc w:val="left"/>
        <w:rPr>
          <w:rFonts w:ascii="Times New Roman" w:hAnsi="Times New Roman"/>
          <w:sz w:val="20"/>
        </w:rPr>
      </w:pPr>
      <w:bookmarkStart w:id="16" w:name="LEGAL_PROCEEDINGS"/>
      <w:bookmarkEnd w:id="16"/>
      <w:r>
        <w:rPr>
          <w:rFonts w:ascii="Times New Roman" w:hAnsi="Times New Roman"/>
          <w:b/>
          <w:sz w:val="20"/>
        </w:rPr>
        <w:t>LEGAL PROCEEDINGS</w:t>
      </w:r>
      <w:r>
        <w:rPr>
          <w:rFonts w:ascii="Times New Roman" w:hAnsi="Times New Roman"/>
          <w:sz w:val="20"/>
        </w:rPr>
        <w:t xml:space="preserve">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5715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sz w:val="20"/>
                              </w:rPr>
                              <w:t>Item 1.</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There were no material developments related to previously disclosed legal proceedings during the quarter ended June 30, 2026. See the “Legal Proceedings” section of the Company’s Form 10-K and previously filed Form 10-Qs for information regarding existing legal proceedings.</w:t>
      </w:r>
    </w:p>
    <w:p>
      <w:pPr>
        <w:pStyle w:val="TextBody"/>
        <w:bidi w:val="0"/>
        <w:spacing w:before="0" w:after="0"/>
        <w:jc w:val="left"/>
        <w:rPr/>
      </w:pPr>
      <w:r>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In the ordinary conduct of our business, the Company is subject to additional periodic lawsuits, investigations, regulatory proceedings, and other claims, including, but not limited to, claims involving students or graduates, routine employment matters, and business disputes. We cannot predict the ultimate resolution of these lawsuits, investigations, regulatory proceedings, and other claims asserted against us, but we do not believe that any of these matters will have a material adverse effect on our business, financial condition, results of operations, or cash flows.</w:t>
      </w:r>
    </w:p>
    <w:p>
      <w:pPr>
        <w:pStyle w:val="TextBody"/>
        <w:bidi w:val="0"/>
        <w:spacing w:before="0" w:after="0"/>
        <w:ind w:left="0" w:right="0" w:hanging="900"/>
        <w:jc w:val="left"/>
        <w:rPr/>
      </w:pPr>
      <w:r>
        <w:rPr/>
        <w:t>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5715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ind w:left="0" w:right="0" w:hanging="900"/>
        <w:jc w:val="left"/>
        <w:rPr>
          <w:rFonts w:ascii="Times New Roman" w:hAnsi="Times New Roman"/>
          <w:b/>
          <w:sz w:val="20"/>
        </w:rPr>
      </w:pPr>
      <w:bookmarkStart w:id="17" w:name="RISK_FACTORS"/>
      <w:bookmarkEnd w:id="17"/>
      <w:r>
        <w:rPr>
          <w:rFonts w:ascii="Times New Roman" w:hAnsi="Times New Roman"/>
          <w:b/>
          <w:sz w:val="20"/>
        </w:rPr>
        <w:t>RISK FACTORS</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5715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sz w:val="20"/>
                              </w:rPr>
                              <w:t>Item 1A.</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1A.</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to the other information set forth in this Form 10-Q, you should carefully consider the risk factors discussed in Part I, Item 1A of our Form 10-K and those contained in our previously filed Form 10-Qs, which could affect our business, financial condition, or operating results. The risks we describe in our periodic reports are not the only risks we face. Additional risks and uncertainties not currently known to us or that we currently deem to be immaterial may also materially adversely affect our business, financial condition, or operating results.  During the quarter ended June 30, 2026, the Company did not become aware of any specific new and additional risk factors that were not previously disclosed. </w:t>
      </w:r>
    </w:p>
    <w:p>
      <w:pPr>
        <w:pStyle w:val="TextBody"/>
        <w:bidi w:val="0"/>
        <w:spacing w:before="0" w:after="0"/>
        <w:ind w:left="720" w:right="0" w:hanging="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28</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900"/>
        <w:jc w:val="left"/>
        <w:rPr>
          <w:rFonts w:ascii="Times New Roman" w:hAnsi="Times New Roman"/>
          <w:sz w:val="20"/>
        </w:rPr>
      </w:pPr>
      <w:bookmarkStart w:id="18" w:name="UNREGISTERED_SALES"/>
      <w:bookmarkEnd w:id="18"/>
      <w:r>
        <w:rPr>
          <w:rFonts w:ascii="Times New Roman" w:hAnsi="Times New Roman"/>
          <w:b/>
          <w:sz w:val="20"/>
        </w:rPr>
        <w:t>UNREGISTERED SALES OF EQUITY SECURITIES AND USE OF PROCEEDS</w:t>
      </w:r>
      <w:r>
        <w:rPr>
          <w:rFonts w:ascii="Times New Roman" w:hAnsi="Times New Roman"/>
          <w:sz w:val="20"/>
        </w:rPr>
        <w:t xml:space="preserve">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5715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sz w:val="20"/>
                              </w:rPr>
                              <w:t>Item 2.</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sz w:val="20"/>
        </w:rPr>
        <w:t xml:space="preserve">None.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2286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2286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None.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2286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On May 24, 2022, the Company announced that the Board of Directors had approved a share repurchase program for 12 months authorizing repurchases of up to $30.0 million of the Company’s Common Stock. On February 27, 2023, the Board of Directors authorized the repurchase of an additional $10.0 million of the Company’s Common Stock, for an aggregate of up to $30.6 million in additional repurchases, and extended the share repurchase program for additional 12-month periods, most recently through May 24, 2027. The Company did not repurchase any additional shares in the three months ended June 30, 2026, and has approximately $29.7 million remaining for additional repurchases under the program. To date, the Company has made repurchases totaling approximately 1.7 million shares at an average share price of $5.95, for an aggregate expenditure of approximately $10.3 million.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2286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sz w:val="20"/>
        </w:rPr>
        <w:t>For more information on the share repurchase plan, see Part I, Item 1. “Notes to Condensed Consolidated Financial Statements”, Note 8 – Stockholders’ Equity.</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1143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3429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714"/>
        <w:jc w:val="left"/>
        <w:rPr/>
      </w:pPr>
      <w:r>
        <w:rPr/>
        <w:t>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191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4191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900"/>
        <w:jc w:val="left"/>
        <w:rPr>
          <w:rFonts w:ascii="Times New Roman" w:hAnsi="Times New Roman"/>
          <w:sz w:val="20"/>
        </w:rPr>
      </w:pPr>
      <w:bookmarkStart w:id="19" w:name="DEFAULTS_UPON"/>
      <w:bookmarkEnd w:id="19"/>
      <w:r>
        <w:rPr>
          <w:rFonts w:ascii="Times New Roman" w:hAnsi="Times New Roman"/>
          <w:b/>
          <w:sz w:val="20"/>
        </w:rPr>
        <w:t>DEFAULTS UPON SENIOR SECURITIES</w:t>
      </w:r>
      <w:r>
        <w:rPr>
          <w:rFonts w:ascii="Times New Roman" w:hAnsi="Times New Roman"/>
          <w:sz w:val="20"/>
        </w:rPr>
        <w:t xml:space="preserve">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5715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sz w:val="20"/>
                              </w:rPr>
                              <w:t>Item 3.</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None.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2286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None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2286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900"/>
        <w:jc w:val="left"/>
        <w:rPr>
          <w:rFonts w:ascii="Times New Roman" w:hAnsi="Times New Roman"/>
          <w:sz w:val="20"/>
        </w:rPr>
      </w:pPr>
      <w:bookmarkStart w:id="20" w:name="MINE_SAFETY"/>
      <w:bookmarkEnd w:id="20"/>
      <w:r>
        <w:rPr>
          <w:rFonts w:ascii="Times New Roman" w:hAnsi="Times New Roman"/>
          <w:b/>
          <w:sz w:val="20"/>
        </w:rPr>
        <w:t>MINE SAFETY DISCLOSURES</w:t>
      </w:r>
      <w:r>
        <w:rPr>
          <w:rFonts w:ascii="Times New Roman" w:hAnsi="Times New Roman"/>
          <w:sz w:val="20"/>
        </w:rPr>
        <w:t xml:space="preserve">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5715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sz w:val="20"/>
                              </w:rPr>
                              <w:t>Item 4.</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4.</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720" w:right="0" w:hanging="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xml:space="preserve">  </w:t>
      </w:r>
    </w:p>
    <w:p>
      <w:pPr>
        <w:pStyle w:val="TextBody"/>
        <w:bidi w:val="0"/>
        <w:spacing w:before="0" w:after="0"/>
        <w:ind w:left="0" w:right="0" w:hanging="900"/>
        <w:jc w:val="left"/>
        <w:rPr>
          <w:rFonts w:ascii="Times New Roman" w:hAnsi="Times New Roman"/>
          <w:sz w:val="20"/>
        </w:rPr>
      </w:pPr>
      <w:bookmarkStart w:id="21" w:name="OTHER"/>
      <w:bookmarkEnd w:id="21"/>
      <w:r>
        <w:rPr>
          <w:rFonts w:ascii="Times New Roman" w:hAnsi="Times New Roman"/>
          <w:b/>
          <w:sz w:val="20"/>
        </w:rPr>
        <w:t>OTHER INFORMATION</w:t>
      </w:r>
      <w:r>
        <w:rPr>
          <w:rFonts w:ascii="Times New Roman" w:hAnsi="Times New Roman"/>
          <w:sz w:val="20"/>
        </w:rPr>
        <w:t xml:space="preserve">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5715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sz w:val="20"/>
                              </w:rPr>
                              <w:t>Item 5.</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5.</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None.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2286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None.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2286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During the three months ended June 30 2026, none of the Company's directors or officers (as defined in Rule 16a-1(f) of the Exchange Act) adopted, terminated or modified a "Rule 10b5-1 trading arrangement" or "non-Rule 10b5-1 trading arrangement" (as such terms are defined in Item 408 of Regulation S-K).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2286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29</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900"/>
        <w:jc w:val="left"/>
        <w:rPr>
          <w:rFonts w:ascii="Times New Roman" w:hAnsi="Times New Roman"/>
          <w:sz w:val="20"/>
        </w:rPr>
      </w:pPr>
      <w:bookmarkStart w:id="22" w:name="EXHIBITS"/>
      <w:bookmarkEnd w:id="22"/>
      <w:r>
        <w:rPr>
          <w:rFonts w:ascii="Times New Roman" w:hAnsi="Times New Roman"/>
          <w:b/>
          <w:sz w:val="20"/>
        </w:rPr>
        <w:t>EXHIBITS</w:t>
      </w:r>
      <w:r>
        <w:rPr>
          <w:rFonts w:ascii="Times New Roman" w:hAnsi="Times New Roman"/>
          <w:sz w:val="20"/>
        </w:rPr>
        <w:t xml:space="preserve">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5715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sz w:val="20"/>
                              </w:rPr>
                              <w:t>Item 6.</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6.</w:t>
                      </w:r>
                      <w:r>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5000" w:type="pct"/>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pPr>
            <w:r>
              <w:rPr/>
              <w:t> </w:t>
            </w:r>
          </w:p>
        </w:tc>
        <w:tc>
          <w:tcPr>
            <w:tcW w:w="9361" w:type="dxa"/>
            <w:tcBorders/>
            <w:vAlign w:val="center"/>
          </w:tcPr>
          <w:p>
            <w:pPr>
              <w:pStyle w:val="TableContents"/>
              <w:bidi w:val="0"/>
              <w:spacing w:before="0" w:after="283"/>
              <w:jc w:val="left"/>
              <w:rPr/>
            </w:pPr>
            <w:r>
              <w:rPr/>
              <w:t> </w:t>
            </w:r>
          </w:p>
        </w:tc>
      </w:tr>
      <w:tr>
        <w:trPr/>
        <w:tc>
          <w:tcPr>
            <w:tcW w:w="844" w:type="dxa"/>
            <w:tcBorders/>
          </w:tcPr>
          <w:p>
            <w:pPr>
              <w:pStyle w:val="TableContents"/>
              <w:bidi w:val="0"/>
              <w:spacing w:before="0" w:after="0"/>
              <w:ind w:left="0" w:right="0" w:hanging="0"/>
              <w:jc w:val="left"/>
              <w:rPr/>
            </w:pPr>
            <w:r>
              <w:rPr/>
              <w:t>Exhibit</w:t>
            </w:r>
          </w:p>
          <w:p>
            <w:pPr>
              <w:pStyle w:val="TableContents"/>
              <w:bidi w:val="0"/>
              <w:spacing w:before="0" w:after="0"/>
              <w:ind w:left="0" w:right="0" w:hanging="0"/>
              <w:jc w:val="left"/>
              <w:rPr>
                <w:u w:val="single"/>
              </w:rPr>
            </w:pPr>
            <w:r>
              <w:rPr>
                <w:u w:val="single"/>
              </w:rPr>
              <w:t>Number</w:t>
            </w:r>
          </w:p>
        </w:tc>
        <w:tc>
          <w:tcPr>
            <w:tcW w:w="9361" w:type="dxa"/>
            <w:tcBorders/>
          </w:tcPr>
          <w:p>
            <w:pPr>
              <w:pStyle w:val="TableContents"/>
              <w:bidi w:val="0"/>
              <w:spacing w:before="0" w:after="0"/>
              <w:ind w:left="0" w:right="0" w:hanging="0"/>
              <w:jc w:val="left"/>
              <w:rPr>
                <w:u w:val="single"/>
              </w:rPr>
            </w:pPr>
            <w:r>
              <w:rPr>
                <w:u w:val="single"/>
              </w:rPr>
              <w:t>Description</w:t>
            </w:r>
          </w:p>
        </w:tc>
      </w:tr>
      <w:tr>
        <w:trPr/>
        <w:tc>
          <w:tcPr>
            <w:tcW w:w="844" w:type="dxa"/>
            <w:tcBorders/>
          </w:tcPr>
          <w:p>
            <w:pPr>
              <w:pStyle w:val="TableContents"/>
              <w:bidi w:val="0"/>
              <w:spacing w:before="0" w:after="283"/>
              <w:jc w:val="left"/>
              <w:rPr/>
            </w:pPr>
            <w:r>
              <w:rPr/>
              <w:t> </w:t>
            </w:r>
          </w:p>
        </w:tc>
        <w:tc>
          <w:tcPr>
            <w:tcW w:w="9361" w:type="dxa"/>
            <w:tcBorders/>
          </w:tcPr>
          <w:p>
            <w:pPr>
              <w:pStyle w:val="TableContents"/>
              <w:bidi w:val="0"/>
              <w:spacing w:before="0" w:after="283"/>
              <w:jc w:val="left"/>
              <w:rPr/>
            </w:pPr>
            <w:r>
              <w:rPr/>
              <w:t> </w:t>
            </w:r>
          </w:p>
        </w:tc>
      </w:tr>
      <w:tr>
        <w:trPr/>
        <w:tc>
          <w:tcPr>
            <w:tcW w:w="844" w:type="dxa"/>
            <w:tcBorders/>
            <w:shd w:fill="CCEEFF" w:val="clear"/>
          </w:tcPr>
          <w:p>
            <w:pPr>
              <w:pStyle w:val="TableContents"/>
              <w:bidi w:val="0"/>
              <w:spacing w:before="0" w:after="0"/>
              <w:ind w:left="0" w:right="0" w:hanging="0"/>
              <w:jc w:val="left"/>
              <w:rPr>
                <w:u w:val="single"/>
              </w:rPr>
            </w:pPr>
            <w:r>
              <w:rPr>
                <w:u w:val="single"/>
              </w:rPr>
              <w:t>3.1</w:t>
            </w:r>
          </w:p>
        </w:tc>
        <w:tc>
          <w:tcPr>
            <w:tcW w:w="9361" w:type="dxa"/>
            <w:tcBorders/>
            <w:shd w:fill="CCEEFF" w:val="clear"/>
          </w:tcPr>
          <w:p>
            <w:pPr>
              <w:pStyle w:val="TableContents"/>
              <w:bidi w:val="0"/>
              <w:spacing w:before="0" w:after="0"/>
              <w:ind w:left="0" w:right="0" w:hanging="0"/>
              <w:jc w:val="left"/>
              <w:rPr/>
            </w:pPr>
            <w:r>
              <w:rPr/>
              <w:t>Amended and Restated Certificate of Incorporation of the Company (incorporated by reference to the Company’s Registration Statement on Form S-1/A (Registration No. 333-123644) filed June 7, 2005.</w:t>
            </w:r>
          </w:p>
        </w:tc>
      </w:tr>
      <w:tr>
        <w:trPr/>
        <w:tc>
          <w:tcPr>
            <w:tcW w:w="844" w:type="dxa"/>
            <w:tcBorders/>
          </w:tcPr>
          <w:p>
            <w:pPr>
              <w:pStyle w:val="TableContents"/>
              <w:bidi w:val="0"/>
              <w:spacing w:before="0" w:after="283"/>
              <w:jc w:val="left"/>
              <w:rPr/>
            </w:pPr>
            <w:r>
              <w:rPr/>
              <w:t> </w:t>
            </w:r>
          </w:p>
        </w:tc>
        <w:tc>
          <w:tcPr>
            <w:tcW w:w="9361" w:type="dxa"/>
            <w:tcBorders/>
          </w:tcPr>
          <w:p>
            <w:pPr>
              <w:pStyle w:val="TableContents"/>
              <w:bidi w:val="0"/>
              <w:spacing w:before="0" w:after="283"/>
              <w:jc w:val="left"/>
              <w:rPr/>
            </w:pPr>
            <w:r>
              <w:rPr/>
              <w:t> </w:t>
            </w:r>
          </w:p>
        </w:tc>
      </w:tr>
      <w:tr>
        <w:trPr/>
        <w:tc>
          <w:tcPr>
            <w:tcW w:w="844" w:type="dxa"/>
            <w:tcBorders/>
            <w:shd w:fill="CCEEFF" w:val="clear"/>
          </w:tcPr>
          <w:p>
            <w:pPr>
              <w:pStyle w:val="TableContents"/>
              <w:bidi w:val="0"/>
              <w:spacing w:before="0" w:after="0"/>
              <w:ind w:left="0" w:right="0" w:hanging="0"/>
              <w:jc w:val="left"/>
              <w:rPr>
                <w:u w:val="single"/>
              </w:rPr>
            </w:pPr>
            <w:r>
              <w:rPr>
                <w:u w:val="single"/>
              </w:rPr>
              <w:t>3.2</w:t>
            </w:r>
          </w:p>
        </w:tc>
        <w:tc>
          <w:tcPr>
            <w:tcW w:w="9361" w:type="dxa"/>
            <w:tcBorders/>
            <w:shd w:fill="CCEEFF" w:val="clear"/>
          </w:tcPr>
          <w:p>
            <w:pPr>
              <w:pStyle w:val="TableContents"/>
              <w:bidi w:val="0"/>
              <w:spacing w:before="0" w:after="0"/>
              <w:ind w:left="0" w:right="0" w:hanging="0"/>
              <w:jc w:val="left"/>
              <w:rPr/>
            </w:pPr>
            <w:r>
              <w:rPr/>
              <w:t>Certificate of Amendment, dated November 14, 2019, to the Amended and Restated Certificate of Incorporation of the Company (incorporated by reference to Exhibit 3.2 of the Company’s Registration Statement on Form S-3 filed October 6, 2020).</w:t>
            </w:r>
          </w:p>
        </w:tc>
      </w:tr>
      <w:tr>
        <w:trPr/>
        <w:tc>
          <w:tcPr>
            <w:tcW w:w="844" w:type="dxa"/>
            <w:tcBorders/>
          </w:tcPr>
          <w:p>
            <w:pPr>
              <w:pStyle w:val="TableContents"/>
              <w:bidi w:val="0"/>
              <w:spacing w:before="0" w:after="283"/>
              <w:jc w:val="left"/>
              <w:rPr/>
            </w:pPr>
            <w:r>
              <w:rPr/>
              <w:t> </w:t>
            </w:r>
          </w:p>
        </w:tc>
        <w:tc>
          <w:tcPr>
            <w:tcW w:w="9361" w:type="dxa"/>
            <w:tcBorders/>
          </w:tcPr>
          <w:p>
            <w:pPr>
              <w:pStyle w:val="TableContents"/>
              <w:bidi w:val="0"/>
              <w:spacing w:before="0" w:after="283"/>
              <w:jc w:val="left"/>
              <w:rPr/>
            </w:pPr>
            <w:r>
              <w:rPr/>
              <w:t> </w:t>
            </w:r>
          </w:p>
        </w:tc>
      </w:tr>
      <w:tr>
        <w:trPr/>
        <w:tc>
          <w:tcPr>
            <w:tcW w:w="844" w:type="dxa"/>
            <w:tcBorders/>
            <w:shd w:fill="CCEEFF" w:val="clear"/>
          </w:tcPr>
          <w:p>
            <w:pPr>
              <w:pStyle w:val="TableContents"/>
              <w:bidi w:val="0"/>
              <w:spacing w:before="0" w:after="0"/>
              <w:ind w:left="0" w:right="0" w:hanging="0"/>
              <w:jc w:val="left"/>
              <w:rPr>
                <w:u w:val="single"/>
              </w:rPr>
            </w:pPr>
            <w:r>
              <w:rPr>
                <w:u w:val="single"/>
              </w:rPr>
              <w:t>3.3</w:t>
            </w:r>
          </w:p>
        </w:tc>
        <w:tc>
          <w:tcPr>
            <w:tcW w:w="9361" w:type="dxa"/>
            <w:tcBorders/>
            <w:shd w:fill="CCEEFF" w:val="clear"/>
          </w:tcPr>
          <w:p>
            <w:pPr>
              <w:pStyle w:val="TableContents"/>
              <w:bidi w:val="0"/>
              <w:spacing w:before="0" w:after="0"/>
              <w:ind w:left="0" w:right="0" w:hanging="0"/>
              <w:jc w:val="left"/>
              <w:rPr/>
            </w:pPr>
            <w:r>
              <w:rPr/>
              <w:t>Bylaws of the Company as amended on March 8, 2019 (incorporated by reference to Exhibit 3.1 of the Company’s Form 8-K filed April 30, 2020).</w:t>
            </w:r>
          </w:p>
        </w:tc>
      </w:tr>
      <w:tr>
        <w:trPr/>
        <w:tc>
          <w:tcPr>
            <w:tcW w:w="844" w:type="dxa"/>
            <w:tcBorders/>
          </w:tcPr>
          <w:p>
            <w:pPr>
              <w:pStyle w:val="TableContents"/>
              <w:bidi w:val="0"/>
              <w:spacing w:before="0" w:after="283"/>
              <w:jc w:val="left"/>
              <w:rPr/>
            </w:pPr>
            <w:r>
              <w:rPr/>
              <w:t> </w:t>
            </w:r>
          </w:p>
        </w:tc>
        <w:tc>
          <w:tcPr>
            <w:tcW w:w="9361" w:type="dxa"/>
            <w:tcBorders/>
          </w:tcPr>
          <w:p>
            <w:pPr>
              <w:pStyle w:val="TableContents"/>
              <w:bidi w:val="0"/>
              <w:spacing w:before="0" w:after="283"/>
              <w:jc w:val="left"/>
              <w:rPr/>
            </w:pPr>
            <w:r>
              <w:rPr/>
              <w:t> </w:t>
            </w:r>
          </w:p>
        </w:tc>
      </w:tr>
      <w:tr>
        <w:trPr/>
        <w:tc>
          <w:tcPr>
            <w:tcW w:w="844" w:type="dxa"/>
            <w:tcBorders/>
            <w:shd w:fill="CCEEFF" w:val="clear"/>
          </w:tcPr>
          <w:p>
            <w:pPr>
              <w:pStyle w:val="TableContents"/>
              <w:bidi w:val="0"/>
              <w:spacing w:before="0" w:after="0"/>
              <w:ind w:left="0" w:right="0" w:hanging="0"/>
              <w:jc w:val="left"/>
              <w:rPr>
                <w:u w:val="single"/>
              </w:rPr>
            </w:pPr>
            <w:r>
              <w:rPr>
                <w:u w:val="single"/>
              </w:rPr>
              <w:t>10.1</w:t>
            </w:r>
          </w:p>
        </w:tc>
        <w:tc>
          <w:tcPr>
            <w:tcW w:w="9361" w:type="dxa"/>
            <w:tcBorders/>
            <w:shd w:fill="CCEEFF" w:val="clear"/>
          </w:tcPr>
          <w:p>
            <w:pPr>
              <w:pStyle w:val="TableContents"/>
              <w:bidi w:val="0"/>
              <w:spacing w:before="0" w:after="0"/>
              <w:ind w:left="0" w:right="0" w:hanging="0"/>
              <w:jc w:val="left"/>
              <w:rPr/>
            </w:pPr>
            <w:r>
              <w:rPr/>
              <w:t>Purchase and Sale Agreement, dated as of May 12, 2026, between Lincoln Technical Institute, Inc., as Buyer, and Melrose Omni, LLC, as Seller (incorporated by reference to Exhibit 10.1 of the Company’s Current Report on Form 8-K filed May 13, 2026).</w:t>
            </w:r>
          </w:p>
        </w:tc>
      </w:tr>
      <w:tr>
        <w:trPr/>
        <w:tc>
          <w:tcPr>
            <w:tcW w:w="844" w:type="dxa"/>
            <w:tcBorders/>
          </w:tcPr>
          <w:p>
            <w:pPr>
              <w:pStyle w:val="TableContents"/>
              <w:bidi w:val="0"/>
              <w:spacing w:before="0" w:after="283"/>
              <w:jc w:val="left"/>
              <w:rPr/>
            </w:pPr>
            <w:r>
              <w:rPr/>
              <w:t> </w:t>
            </w:r>
          </w:p>
        </w:tc>
        <w:tc>
          <w:tcPr>
            <w:tcW w:w="9361" w:type="dxa"/>
            <w:tcBorders/>
          </w:tcPr>
          <w:p>
            <w:pPr>
              <w:pStyle w:val="TableContents"/>
              <w:bidi w:val="0"/>
              <w:spacing w:before="0" w:after="283"/>
              <w:jc w:val="left"/>
              <w:rPr/>
            </w:pPr>
            <w:r>
              <w:rPr/>
              <w:t> </w:t>
            </w:r>
          </w:p>
        </w:tc>
      </w:tr>
      <w:tr>
        <w:trPr/>
        <w:tc>
          <w:tcPr>
            <w:tcW w:w="844" w:type="dxa"/>
            <w:tcBorders/>
            <w:shd w:fill="CCEEFF" w:val="clear"/>
          </w:tcPr>
          <w:p>
            <w:pPr>
              <w:pStyle w:val="TableContents"/>
              <w:bidi w:val="0"/>
              <w:spacing w:before="0" w:after="0"/>
              <w:ind w:left="0" w:right="0" w:hanging="0"/>
              <w:jc w:val="left"/>
              <w:rPr>
                <w:u w:val="single"/>
              </w:rPr>
            </w:pPr>
            <w:r>
              <w:rPr>
                <w:u w:val="single"/>
              </w:rPr>
              <w:t>10.2</w:t>
            </w:r>
          </w:p>
        </w:tc>
        <w:tc>
          <w:tcPr>
            <w:tcW w:w="9361" w:type="dxa"/>
            <w:tcBorders/>
            <w:shd w:fill="CCEEFF" w:val="clear"/>
          </w:tcPr>
          <w:p>
            <w:pPr>
              <w:pStyle w:val="TableContents"/>
              <w:bidi w:val="0"/>
              <w:spacing w:before="0" w:after="0"/>
              <w:ind w:left="0" w:right="0" w:hanging="0"/>
              <w:jc w:val="left"/>
              <w:rPr/>
            </w:pPr>
            <w:r>
              <w:rPr/>
              <w:t>Amended and Restated Credit Agreement, dated as of April 13, 2026, by and among the Company, as Borrower, and the lenders referred to therein, including Fifth Third Bank, National Association, as lender and as administrative agent, joint lead arranger, and joint bookrunner, and Flagstar Bank, N.A., Provident Bank, and Santander Bank, N.A., as lenders and as joint lead arrangers and joint bookrunners (incorporated by reference to Exhibit 10.1 of the Company’s Current Report on Form 8-K filed April 16, 2026).</w:t>
            </w:r>
          </w:p>
        </w:tc>
      </w:tr>
      <w:tr>
        <w:trPr/>
        <w:tc>
          <w:tcPr>
            <w:tcW w:w="844" w:type="dxa"/>
            <w:tcBorders/>
          </w:tcPr>
          <w:p>
            <w:pPr>
              <w:pStyle w:val="TableContents"/>
              <w:bidi w:val="0"/>
              <w:spacing w:before="0" w:after="283"/>
              <w:jc w:val="left"/>
              <w:rPr/>
            </w:pPr>
            <w:r>
              <w:rPr/>
              <w:t> </w:t>
            </w:r>
          </w:p>
        </w:tc>
        <w:tc>
          <w:tcPr>
            <w:tcW w:w="9361" w:type="dxa"/>
            <w:tcBorders/>
          </w:tcPr>
          <w:p>
            <w:pPr>
              <w:pStyle w:val="TableContents"/>
              <w:bidi w:val="0"/>
              <w:spacing w:before="0" w:after="283"/>
              <w:jc w:val="left"/>
              <w:rPr/>
            </w:pPr>
            <w:r>
              <w:rPr/>
              <w:t> </w:t>
            </w:r>
          </w:p>
        </w:tc>
      </w:tr>
      <w:tr>
        <w:trPr/>
        <w:tc>
          <w:tcPr>
            <w:tcW w:w="844" w:type="dxa"/>
            <w:tcBorders/>
            <w:shd w:fill="CCEEFF" w:val="clear"/>
          </w:tcPr>
          <w:p>
            <w:pPr>
              <w:pStyle w:val="TableContents"/>
              <w:bidi w:val="0"/>
              <w:spacing w:before="0" w:after="0"/>
              <w:ind w:left="0" w:right="0" w:hanging="0"/>
              <w:jc w:val="left"/>
              <w:rPr>
                <w:u w:val="single"/>
              </w:rPr>
            </w:pPr>
            <w:r>
              <w:rPr>
                <w:u w:val="single"/>
              </w:rPr>
              <w:t>10.3</w:t>
            </w:r>
          </w:p>
        </w:tc>
        <w:tc>
          <w:tcPr>
            <w:tcW w:w="9361" w:type="dxa"/>
            <w:tcBorders/>
            <w:shd w:fill="CCEEFF" w:val="clear"/>
          </w:tcPr>
          <w:p>
            <w:pPr>
              <w:pStyle w:val="TableContents"/>
              <w:bidi w:val="0"/>
              <w:spacing w:before="0" w:after="0"/>
              <w:ind w:left="0" w:right="0" w:hanging="0"/>
              <w:jc w:val="left"/>
              <w:rPr/>
            </w:pPr>
            <w:r>
              <w:rPr/>
              <w:t>Amended and Restated Guaranty and Security Agreement, dated as of April 13, 2026, by and among the Company, as Borrower, and its subsidiaries, Lincoln Technical Institute, Inc., New England Acquisition LLC, Nashville Acquisition, L.L.C., and NN Acquisition, LLC, as Guarantors in favor of Fifth Third Bank, National Association, as agent for the lenders (incorporated by reference to Exhibit 10.2 of the Company’s Current Report on Form 8-K filed April 16, 2026).</w:t>
            </w:r>
          </w:p>
        </w:tc>
      </w:tr>
      <w:tr>
        <w:trPr/>
        <w:tc>
          <w:tcPr>
            <w:tcW w:w="844" w:type="dxa"/>
            <w:tcBorders/>
          </w:tcPr>
          <w:p>
            <w:pPr>
              <w:pStyle w:val="TableContents"/>
              <w:bidi w:val="0"/>
              <w:spacing w:before="0" w:after="283"/>
              <w:jc w:val="left"/>
              <w:rPr/>
            </w:pPr>
            <w:r>
              <w:rPr/>
              <w:t> </w:t>
            </w:r>
          </w:p>
        </w:tc>
        <w:tc>
          <w:tcPr>
            <w:tcW w:w="9361" w:type="dxa"/>
            <w:tcBorders/>
          </w:tcPr>
          <w:p>
            <w:pPr>
              <w:pStyle w:val="TableContents"/>
              <w:bidi w:val="0"/>
              <w:spacing w:before="0" w:after="283"/>
              <w:jc w:val="left"/>
              <w:rPr/>
            </w:pPr>
            <w:r>
              <w:rPr/>
              <w:t> </w:t>
            </w:r>
          </w:p>
        </w:tc>
      </w:tr>
      <w:tr>
        <w:trPr/>
        <w:tc>
          <w:tcPr>
            <w:tcW w:w="844" w:type="dxa"/>
            <w:tcBorders/>
            <w:shd w:fill="CCEEFF" w:val="clear"/>
          </w:tcPr>
          <w:p>
            <w:pPr>
              <w:pStyle w:val="TableContents"/>
              <w:bidi w:val="0"/>
              <w:spacing w:before="0" w:after="0"/>
              <w:ind w:left="0" w:right="0" w:hanging="0"/>
              <w:jc w:val="left"/>
              <w:rPr>
                <w:u w:val="single"/>
              </w:rPr>
            </w:pPr>
            <w:r>
              <w:rPr>
                <w:u w:val="single"/>
              </w:rPr>
              <w:t>31.1*</w:t>
            </w:r>
          </w:p>
        </w:tc>
        <w:tc>
          <w:tcPr>
            <w:tcW w:w="9361" w:type="dxa"/>
            <w:tcBorders/>
            <w:shd w:fill="CCEEFF" w:val="clear"/>
          </w:tcPr>
          <w:p>
            <w:pPr>
              <w:pStyle w:val="TableContents"/>
              <w:bidi w:val="0"/>
              <w:spacing w:before="0" w:after="0"/>
              <w:ind w:left="0" w:right="0" w:hanging="0"/>
              <w:jc w:val="left"/>
              <w:rPr/>
            </w:pPr>
            <w:r>
              <w:rPr/>
              <w:t>Certification of Chief Executive Officer pursuant to Section 302 of the Sarbanes-Oxley Act of 2002.</w:t>
            </w:r>
          </w:p>
        </w:tc>
      </w:tr>
      <w:tr>
        <w:trPr/>
        <w:tc>
          <w:tcPr>
            <w:tcW w:w="844" w:type="dxa"/>
            <w:tcBorders/>
          </w:tcPr>
          <w:p>
            <w:pPr>
              <w:pStyle w:val="TableContents"/>
              <w:bidi w:val="0"/>
              <w:spacing w:before="0" w:after="283"/>
              <w:jc w:val="left"/>
              <w:rPr/>
            </w:pPr>
            <w:r>
              <w:rPr/>
              <w:t> </w:t>
            </w:r>
          </w:p>
        </w:tc>
        <w:tc>
          <w:tcPr>
            <w:tcW w:w="9361" w:type="dxa"/>
            <w:tcBorders/>
          </w:tcPr>
          <w:p>
            <w:pPr>
              <w:pStyle w:val="TableContents"/>
              <w:bidi w:val="0"/>
              <w:spacing w:before="0" w:after="283"/>
              <w:jc w:val="left"/>
              <w:rPr/>
            </w:pPr>
            <w:r>
              <w:rPr/>
              <w:t> </w:t>
            </w:r>
          </w:p>
        </w:tc>
      </w:tr>
      <w:tr>
        <w:trPr/>
        <w:tc>
          <w:tcPr>
            <w:tcW w:w="844" w:type="dxa"/>
            <w:tcBorders/>
            <w:shd w:fill="CCEEFF" w:val="clear"/>
          </w:tcPr>
          <w:p>
            <w:pPr>
              <w:pStyle w:val="TableContents"/>
              <w:bidi w:val="0"/>
              <w:spacing w:before="0" w:after="0"/>
              <w:ind w:left="0" w:right="0" w:hanging="0"/>
              <w:jc w:val="left"/>
              <w:rPr>
                <w:u w:val="single"/>
              </w:rPr>
            </w:pPr>
            <w:r>
              <w:rPr>
                <w:u w:val="single"/>
              </w:rPr>
              <w:t>31.2*</w:t>
            </w:r>
          </w:p>
        </w:tc>
        <w:tc>
          <w:tcPr>
            <w:tcW w:w="9361" w:type="dxa"/>
            <w:tcBorders/>
            <w:shd w:fill="CCEEFF" w:val="clear"/>
          </w:tcPr>
          <w:p>
            <w:pPr>
              <w:pStyle w:val="TableContents"/>
              <w:bidi w:val="0"/>
              <w:spacing w:before="0" w:after="0"/>
              <w:ind w:left="0" w:right="0" w:hanging="0"/>
              <w:jc w:val="left"/>
              <w:rPr/>
            </w:pPr>
            <w:r>
              <w:rPr/>
              <w:t>Certification of Chief Financial Officer pursuant to Section 302 of the Sarbanes-Oxley Act of 2002.</w:t>
            </w:r>
          </w:p>
        </w:tc>
      </w:tr>
      <w:tr>
        <w:trPr/>
        <w:tc>
          <w:tcPr>
            <w:tcW w:w="844" w:type="dxa"/>
            <w:tcBorders/>
          </w:tcPr>
          <w:p>
            <w:pPr>
              <w:pStyle w:val="TableContents"/>
              <w:bidi w:val="0"/>
              <w:spacing w:before="0" w:after="283"/>
              <w:jc w:val="left"/>
              <w:rPr/>
            </w:pPr>
            <w:r>
              <w:rPr/>
              <w:t> </w:t>
            </w:r>
          </w:p>
        </w:tc>
        <w:tc>
          <w:tcPr>
            <w:tcW w:w="9361" w:type="dxa"/>
            <w:tcBorders/>
          </w:tcPr>
          <w:p>
            <w:pPr>
              <w:pStyle w:val="TableContents"/>
              <w:bidi w:val="0"/>
              <w:spacing w:before="0" w:after="283"/>
              <w:jc w:val="left"/>
              <w:rPr/>
            </w:pPr>
            <w:r>
              <w:rPr/>
              <w:t> </w:t>
            </w:r>
          </w:p>
        </w:tc>
      </w:tr>
      <w:tr>
        <w:trPr/>
        <w:tc>
          <w:tcPr>
            <w:tcW w:w="844" w:type="dxa"/>
            <w:tcBorders/>
            <w:shd w:fill="CCEEFF" w:val="clear"/>
          </w:tcPr>
          <w:p>
            <w:pPr>
              <w:pStyle w:val="TableContents"/>
              <w:bidi w:val="0"/>
              <w:spacing w:before="0" w:after="0"/>
              <w:ind w:left="0" w:right="0" w:hanging="0"/>
              <w:jc w:val="left"/>
              <w:rPr>
                <w:u w:val="single"/>
              </w:rPr>
            </w:pPr>
            <w:r>
              <w:rPr>
                <w:u w:val="single"/>
              </w:rPr>
              <w:t>32**</w:t>
            </w:r>
          </w:p>
        </w:tc>
        <w:tc>
          <w:tcPr>
            <w:tcW w:w="9361" w:type="dxa"/>
            <w:tcBorders/>
            <w:shd w:fill="CCEEFF" w:val="clear"/>
          </w:tcPr>
          <w:p>
            <w:pPr>
              <w:pStyle w:val="TableContents"/>
              <w:bidi w:val="0"/>
              <w:spacing w:before="0" w:after="0"/>
              <w:ind w:left="0" w:right="0" w:hanging="0"/>
              <w:jc w:val="left"/>
              <w:rPr/>
            </w:pPr>
            <w:r>
              <w:rPr/>
              <w:t>Certification of Chief Executive Officer and Chief Financial Officer pursuant to 18 U.S.C. 1350, as adopted pursuant to Section 906 of the Sarbanes-Oxley Act of 2002.</w:t>
            </w:r>
          </w:p>
        </w:tc>
      </w:tr>
      <w:tr>
        <w:trPr/>
        <w:tc>
          <w:tcPr>
            <w:tcW w:w="844" w:type="dxa"/>
            <w:tcBorders/>
          </w:tcPr>
          <w:p>
            <w:pPr>
              <w:pStyle w:val="TableContents"/>
              <w:bidi w:val="0"/>
              <w:spacing w:before="0" w:after="283"/>
              <w:jc w:val="left"/>
              <w:rPr/>
            </w:pPr>
            <w:r>
              <w:rPr/>
              <w:t> </w:t>
            </w:r>
          </w:p>
        </w:tc>
        <w:tc>
          <w:tcPr>
            <w:tcW w:w="9361" w:type="dxa"/>
            <w:tcBorders/>
          </w:tcPr>
          <w:p>
            <w:pPr>
              <w:pStyle w:val="TableContents"/>
              <w:bidi w:val="0"/>
              <w:spacing w:before="0" w:after="283"/>
              <w:jc w:val="left"/>
              <w:rPr/>
            </w:pPr>
            <w:r>
              <w:rPr/>
              <w:t> </w:t>
            </w:r>
          </w:p>
        </w:tc>
      </w:tr>
      <w:tr>
        <w:trPr/>
        <w:tc>
          <w:tcPr>
            <w:tcW w:w="844" w:type="dxa"/>
            <w:tcBorders/>
            <w:shd w:fill="CCEEFF" w:val="clear"/>
          </w:tcPr>
          <w:p>
            <w:pPr>
              <w:pStyle w:val="TableContents"/>
              <w:bidi w:val="0"/>
              <w:spacing w:before="0" w:after="0"/>
              <w:ind w:left="0" w:right="0" w:hanging="0"/>
              <w:jc w:val="left"/>
              <w:rPr>
                <w:u w:val="single"/>
              </w:rPr>
            </w:pPr>
            <w:r>
              <w:rPr>
                <w:u w:val="single"/>
              </w:rPr>
              <w:t>101*</w:t>
            </w:r>
          </w:p>
        </w:tc>
        <w:tc>
          <w:tcPr>
            <w:tcW w:w="9361" w:type="dxa"/>
            <w:tcBorders/>
            <w:shd w:fill="CCEEFF" w:val="clear"/>
          </w:tcPr>
          <w:p>
            <w:pPr>
              <w:pStyle w:val="TableContents"/>
              <w:bidi w:val="0"/>
              <w:spacing w:before="0" w:after="0"/>
              <w:ind w:left="0" w:right="0" w:hanging="0"/>
              <w:jc w:val="left"/>
              <w:rPr/>
            </w:pPr>
            <w:r>
              <w:rPr/>
              <w:t>The following financial statements from the Company’s 10-Q for the quarter ended June 30, 2026, formatted in Inline eXtensible Business Reporting Language (“iXBRL”): (i) Condensed Consolidated Balance Sheets, (ii) Condensed Consolidated Statements of Operations, (iii) Condensed Consolidated Statements of Comprehensive (Loss) Income, (iv) Condensed Consolidated Statements of Changes in Stockholders’ Equity, (v) Condensed Consolidated Statements of Cash Flows and (vi) the Notes to Condensed Consolidated Financial Statements, tagged as blocks of text and in detail.</w:t>
            </w:r>
          </w:p>
        </w:tc>
      </w:tr>
      <w:tr>
        <w:trPr/>
        <w:tc>
          <w:tcPr>
            <w:tcW w:w="844" w:type="dxa"/>
            <w:tcBorders/>
          </w:tcPr>
          <w:p>
            <w:pPr>
              <w:pStyle w:val="TableContents"/>
              <w:bidi w:val="0"/>
              <w:spacing w:before="0" w:after="283"/>
              <w:jc w:val="left"/>
              <w:rPr/>
            </w:pPr>
            <w:r>
              <w:rPr/>
              <w:t> </w:t>
            </w:r>
          </w:p>
        </w:tc>
        <w:tc>
          <w:tcPr>
            <w:tcW w:w="9361" w:type="dxa"/>
            <w:tcBorders/>
          </w:tcPr>
          <w:p>
            <w:pPr>
              <w:pStyle w:val="TableContents"/>
              <w:bidi w:val="0"/>
              <w:spacing w:before="0" w:after="283"/>
              <w:jc w:val="left"/>
              <w:rPr/>
            </w:pPr>
            <w:r>
              <w:rPr/>
              <w:t> </w:t>
            </w:r>
          </w:p>
        </w:tc>
      </w:tr>
      <w:tr>
        <w:trPr/>
        <w:tc>
          <w:tcPr>
            <w:tcW w:w="844" w:type="dxa"/>
            <w:tcBorders/>
            <w:shd w:fill="CCEEFF" w:val="clear"/>
          </w:tcPr>
          <w:p>
            <w:pPr>
              <w:pStyle w:val="TableContents"/>
              <w:bidi w:val="0"/>
              <w:spacing w:before="0" w:after="0"/>
              <w:ind w:left="0" w:right="0" w:hanging="0"/>
              <w:jc w:val="left"/>
              <w:rPr>
                <w:u w:val="single"/>
              </w:rPr>
            </w:pPr>
            <w:r>
              <w:rPr>
                <w:u w:val="single"/>
              </w:rPr>
              <w:t>104</w:t>
            </w:r>
          </w:p>
        </w:tc>
        <w:tc>
          <w:tcPr>
            <w:tcW w:w="9361" w:type="dxa"/>
            <w:tcBorders/>
            <w:shd w:fill="CCEEFF" w:val="clear"/>
          </w:tcPr>
          <w:p>
            <w:pPr>
              <w:pStyle w:val="TableContents"/>
              <w:bidi w:val="0"/>
              <w:spacing w:before="0" w:after="0"/>
              <w:ind w:left="0" w:right="0" w:hanging="0"/>
              <w:jc w:val="left"/>
              <w:rPr/>
            </w:pPr>
            <w:r>
              <w:rPr/>
              <w:t>Cover Page Interactive Data File (formatted as iXBRL and contained in Exhibit 101).</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720"/>
        <w:jc w:val="left"/>
        <w:rPr>
          <w:rFonts w:ascii="Times New Roman" w:hAnsi="Times New Roman"/>
          <w:sz w:val="20"/>
        </w:rPr>
      </w:pPr>
      <w:r>
        <w:rPr>
          <w:rFonts w:ascii="Times New Roman" w:hAnsi="Times New Roman"/>
          <w:sz w:val="20"/>
        </w:rPr>
        <w:t xml:space="preserve">Filed herewith.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sz w:val="20"/>
                              </w:rPr>
                              <w:t>*</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w:t>
                      </w:r>
                      <w:r>
                        <w:rPr/>
                        <w:t xml:space="preserve"> </w:t>
                      </w:r>
                    </w:p>
                  </w:txbxContent>
                </v:textbox>
                <w10:wrap type="square" side="right"/>
              </v:rect>
            </w:pict>
          </mc:Fallback>
        </mc:AlternateContent>
      </w:r>
    </w:p>
    <w:p>
      <w:pPr>
        <w:pStyle w:val="TextBody"/>
        <w:bidi w:val="0"/>
        <w:spacing w:before="0" w:after="0"/>
        <w:ind w:left="0" w:right="0" w:hanging="720"/>
        <w:jc w:val="left"/>
        <w:rPr>
          <w:rFonts w:ascii="Times New Roman" w:hAnsi="Times New Roman"/>
          <w:sz w:val="20"/>
        </w:rPr>
      </w:pPr>
      <w:r>
        <w:rPr>
          <w:rFonts w:ascii="Times New Roman" w:hAnsi="Times New Roman"/>
          <w:sz w:val="20"/>
        </w:rPr>
        <w:t xml:space="preserve">Furnished herewith. 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Exchange Act of 1934, as amended. </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sz w:val="20"/>
                              </w:rPr>
                              <w:t>**</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b/>
                          <w:sz w:val="2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30</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bookmarkStart w:id="23" w:name="SIGNATURES"/>
      <w:bookmarkEnd w:id="23"/>
      <w:r>
        <w:rPr>
          <w:rFonts w:ascii="Times New Roman" w:hAnsi="Times New Roman"/>
          <w:b/>
          <w:sz w:val="20"/>
        </w:rPr>
        <w:t>SIGNATURES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xml:space="preserve">  </w:t>
      </w:r>
    </w:p>
    <w:tbl>
      <w:tblPr>
        <w:tblW w:w="7349" w:type="dxa"/>
        <w:jc w:val="left"/>
        <w:tblInd w:w="0" w:type="dxa"/>
        <w:tblLayout w:type="fixed"/>
        <w:tblCellMar>
          <w:top w:w="28" w:type="dxa"/>
          <w:left w:w="28" w:type="dxa"/>
          <w:bottom w:w="28" w:type="dxa"/>
          <w:right w:w="28" w:type="dxa"/>
        </w:tblCellMar>
      </w:tblPr>
      <w:tblGrid>
        <w:gridCol w:w="2011"/>
        <w:gridCol w:w="416"/>
        <w:gridCol w:w="914"/>
        <w:gridCol w:w="3500"/>
        <w:gridCol w:w="508"/>
      </w:tblGrid>
      <w:tr>
        <w:trPr/>
        <w:tc>
          <w:tcPr>
            <w:tcW w:w="2011"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338" w:type="dxa"/>
            <w:gridSpan w:val="4"/>
            <w:tcBorders/>
            <w:tcMar>
              <w:top w:w="0" w:type="dxa"/>
              <w:left w:w="0" w:type="dxa"/>
              <w:bottom w:w="0" w:type="dxa"/>
              <w:right w:w="0" w:type="dxa"/>
            </w:tcMar>
            <w:vAlign w:val="center"/>
          </w:tcPr>
          <w:p>
            <w:pPr>
              <w:pStyle w:val="TableContents"/>
              <w:bidi w:val="0"/>
              <w:spacing w:before="0" w:after="0"/>
              <w:jc w:val="left"/>
              <w:rPr/>
            </w:pPr>
            <w:r>
              <w:rPr>
                <w:sz w:val="20"/>
              </w:rPr>
              <w:t>LINCOLN EDUCATIONAL SERVICES CORPORATION</w:t>
            </w:r>
            <w:r>
              <w:rPr/>
              <w:t xml:space="preserve"> </w:t>
            </w:r>
          </w:p>
        </w:tc>
      </w:tr>
      <w:tr>
        <w:trPr/>
        <w:tc>
          <w:tcPr>
            <w:tcW w:w="201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1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922" w:type="dxa"/>
            <w:gridSpan w:val="3"/>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011" w:type="dxa"/>
            <w:tcBorders/>
            <w:tcMar>
              <w:top w:w="0" w:type="dxa"/>
              <w:left w:w="0" w:type="dxa"/>
              <w:bottom w:w="0" w:type="dxa"/>
              <w:right w:w="0" w:type="dxa"/>
            </w:tcMar>
            <w:vAlign w:val="center"/>
          </w:tcPr>
          <w:p>
            <w:pPr>
              <w:pStyle w:val="TableContents"/>
              <w:bidi w:val="0"/>
              <w:spacing w:before="0" w:after="0"/>
              <w:jc w:val="left"/>
              <w:rPr/>
            </w:pPr>
            <w:r>
              <w:rPr>
                <w:sz w:val="20"/>
              </w:rPr>
              <w:t>Date: August 10, 2026</w:t>
            </w:r>
            <w:r>
              <w:rPr/>
              <w:t xml:space="preserve"> </w:t>
            </w:r>
          </w:p>
        </w:tc>
        <w:tc>
          <w:tcPr>
            <w:tcW w:w="41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14"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By: </w:t>
            </w:r>
          </w:p>
        </w:tc>
        <w:tc>
          <w:tcPr>
            <w:tcW w:w="3500" w:type="dxa"/>
            <w:tcBorders>
              <w:bottom w:val="single" w:sz="12" w:space="0" w:color="000000"/>
            </w:tcBorders>
            <w:tcMar>
              <w:top w:w="0" w:type="dxa"/>
              <w:left w:w="0" w:type="dxa"/>
              <w:right w:w="0" w:type="dxa"/>
            </w:tcMar>
            <w:vAlign w:val="center"/>
          </w:tcPr>
          <w:p>
            <w:pPr>
              <w:pStyle w:val="TableContents"/>
              <w:bidi w:val="0"/>
              <w:spacing w:before="0" w:after="0"/>
              <w:jc w:val="left"/>
              <w:rPr/>
            </w:pPr>
            <w:r>
              <w:rPr>
                <w:sz w:val="20"/>
              </w:rPr>
              <w:t>/s/ Brian K. Meyers</w:t>
            </w:r>
            <w:r>
              <w:rPr/>
              <w:t xml:space="preserve"> </w:t>
            </w:r>
          </w:p>
        </w:tc>
        <w:tc>
          <w:tcPr>
            <w:tcW w:w="508"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01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338" w:type="dxa"/>
            <w:gridSpan w:val="4"/>
            <w:tcBorders/>
            <w:tcMar>
              <w:top w:w="0" w:type="dxa"/>
              <w:left w:w="0" w:type="dxa"/>
              <w:bottom w:w="0" w:type="dxa"/>
              <w:right w:w="0" w:type="dxa"/>
            </w:tcMar>
            <w:vAlign w:val="center"/>
          </w:tcPr>
          <w:p>
            <w:pPr>
              <w:pStyle w:val="TableContents"/>
              <w:bidi w:val="0"/>
              <w:spacing w:before="0" w:after="0"/>
              <w:jc w:val="left"/>
              <w:rPr/>
            </w:pPr>
            <w:r>
              <w:rPr>
                <w:sz w:val="20"/>
              </w:rPr>
              <w:t>Brian K. Meyers</w:t>
            </w:r>
            <w:r>
              <w:rPr/>
              <w:t xml:space="preserve"> </w:t>
            </w:r>
          </w:p>
        </w:tc>
      </w:tr>
      <w:tr>
        <w:trPr/>
        <w:tc>
          <w:tcPr>
            <w:tcW w:w="201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338" w:type="dxa"/>
            <w:gridSpan w:val="4"/>
            <w:tcBorders/>
            <w:tcMar>
              <w:top w:w="0" w:type="dxa"/>
              <w:left w:w="0" w:type="dxa"/>
              <w:bottom w:w="0" w:type="dxa"/>
              <w:right w:w="0" w:type="dxa"/>
            </w:tcMar>
            <w:vAlign w:val="center"/>
          </w:tcPr>
          <w:p>
            <w:pPr>
              <w:pStyle w:val="TableContents"/>
              <w:bidi w:val="0"/>
              <w:spacing w:before="0" w:after="0"/>
              <w:jc w:val="left"/>
              <w:rPr/>
            </w:pPr>
            <w:r>
              <w:rPr>
                <w:sz w:val="20"/>
              </w:rPr>
              <w:t>Executive Vice President, Chief Financial Officer and Treasurer</w:t>
            </w:r>
            <w:r>
              <w:rPr/>
              <w:t xml:space="preserve">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sz w:val="20"/>
        </w:rPr>
        <w:t xml:space="preserve">Exhibit Index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567"/>
        <w:gridCol w:w="9638"/>
      </w:tblGrid>
      <w:tr>
        <w:trPr/>
        <w:tc>
          <w:tcPr>
            <w:tcW w:w="567" w:type="dxa"/>
            <w:tcBorders/>
            <w:vAlign w:val="center"/>
          </w:tcPr>
          <w:p>
            <w:pPr>
              <w:pStyle w:val="TableContents"/>
              <w:bidi w:val="0"/>
              <w:spacing w:before="0" w:after="283"/>
              <w:jc w:val="left"/>
              <w:rPr/>
            </w:pPr>
            <w:r>
              <w:rPr/>
              <w:t> </w:t>
            </w:r>
          </w:p>
        </w:tc>
        <w:tc>
          <w:tcPr>
            <w:tcW w:w="9638" w:type="dxa"/>
            <w:tcBorders/>
            <w:vAlign w:val="center"/>
          </w:tcPr>
          <w:p>
            <w:pPr>
              <w:pStyle w:val="TableContents"/>
              <w:bidi w:val="0"/>
              <w:spacing w:before="0" w:after="283"/>
              <w:jc w:val="left"/>
              <w:rPr/>
            </w:pPr>
            <w:r>
              <w:rPr/>
              <w:t> </w:t>
            </w:r>
          </w:p>
        </w:tc>
      </w:tr>
      <w:tr>
        <w:trPr/>
        <w:tc>
          <w:tcPr>
            <w:tcW w:w="567" w:type="dxa"/>
            <w:tcBorders/>
            <w:shd w:fill="CCEEFF" w:val="clear"/>
            <w:tcMar>
              <w:top w:w="0" w:type="dxa"/>
              <w:left w:w="0" w:type="dxa"/>
              <w:bottom w:w="0" w:type="dxa"/>
              <w:right w:w="0" w:type="dxa"/>
            </w:tcMar>
            <w:vAlign w:val="center"/>
          </w:tcPr>
          <w:p>
            <w:pPr>
              <w:pStyle w:val="TableContents"/>
              <w:bidi w:val="0"/>
              <w:spacing w:before="0" w:after="0"/>
              <w:jc w:val="left"/>
              <w:rPr/>
            </w:pPr>
            <w:hyperlink r:id="rId2">
              <w:r>
                <w:rPr>
                  <w:rStyle w:val="InternetLink"/>
                  <w:color w:val="0000EE"/>
                  <w:u w:val="single"/>
                </w:rPr>
                <w:t>3.1</w:t>
              </w:r>
            </w:hyperlink>
            <w:r>
              <w:rPr/>
              <w:t xml:space="preserve"> </w:t>
            </w:r>
          </w:p>
        </w:tc>
        <w:tc>
          <w:tcPr>
            <w:tcW w:w="963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Amended and Restated Certificate of Incorporation of the Company (incorporated by reference to the Company’s Registration Statement on Form S-1/A (Registration No. 333-123644) filed June 7, 2005). </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96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CCEEFF" w:val="clear"/>
            <w:tcMar>
              <w:top w:w="0" w:type="dxa"/>
              <w:left w:w="0" w:type="dxa"/>
              <w:bottom w:w="0" w:type="dxa"/>
              <w:right w:w="0" w:type="dxa"/>
            </w:tcMar>
            <w:vAlign w:val="center"/>
          </w:tcPr>
          <w:p>
            <w:pPr>
              <w:pStyle w:val="TableContents"/>
              <w:bidi w:val="0"/>
              <w:spacing w:before="0" w:after="0"/>
              <w:jc w:val="left"/>
              <w:rPr/>
            </w:pPr>
            <w:hyperlink r:id="rId3">
              <w:r>
                <w:rPr>
                  <w:rStyle w:val="InternetLink"/>
                  <w:color w:val="0000EE"/>
                  <w:u w:val="single"/>
                </w:rPr>
                <w:t>3.2</w:t>
              </w:r>
            </w:hyperlink>
            <w:r>
              <w:rPr/>
              <w:t xml:space="preserve"> </w:t>
            </w:r>
          </w:p>
        </w:tc>
        <w:tc>
          <w:tcPr>
            <w:tcW w:w="963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Certificate of Amendment, dated November 14, 2019, to the Amended and Restated Certificate of Incorporation of the Company (incorporated by reference to Exhibit 3.2 of the Company’s Registration Statement on Form S-3 filed October 6, 2020). </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96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CCEEFF" w:val="clear"/>
            <w:tcMar>
              <w:top w:w="0" w:type="dxa"/>
              <w:left w:w="0" w:type="dxa"/>
              <w:bottom w:w="0" w:type="dxa"/>
              <w:right w:w="0" w:type="dxa"/>
            </w:tcMar>
            <w:vAlign w:val="center"/>
          </w:tcPr>
          <w:p>
            <w:pPr>
              <w:pStyle w:val="TableContents"/>
              <w:bidi w:val="0"/>
              <w:spacing w:before="0" w:after="0"/>
              <w:jc w:val="left"/>
              <w:rPr/>
            </w:pPr>
            <w:hyperlink r:id="rId4">
              <w:r>
                <w:rPr>
                  <w:rStyle w:val="InternetLink"/>
                  <w:color w:val="0000EE"/>
                  <w:u w:val="single"/>
                </w:rPr>
                <w:t>3.3</w:t>
              </w:r>
            </w:hyperlink>
            <w:r>
              <w:rPr/>
              <w:t xml:space="preserve"> </w:t>
            </w:r>
          </w:p>
        </w:tc>
        <w:tc>
          <w:tcPr>
            <w:tcW w:w="963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Bylaws of the Company as amended on March 8, 2019 (incorporated by reference to Exhibit 3.1 of the Company’s Form 8-K filed April 30, 2020). </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96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CCEEFF" w:val="clear"/>
            <w:tcMar>
              <w:top w:w="0" w:type="dxa"/>
              <w:left w:w="0" w:type="dxa"/>
              <w:bottom w:w="0" w:type="dxa"/>
              <w:right w:w="0" w:type="dxa"/>
            </w:tcMar>
            <w:vAlign w:val="center"/>
          </w:tcPr>
          <w:p>
            <w:pPr>
              <w:pStyle w:val="TableContents"/>
              <w:bidi w:val="0"/>
              <w:spacing w:before="0" w:after="0"/>
              <w:jc w:val="left"/>
              <w:rPr/>
            </w:pPr>
            <w:hyperlink r:id="rId5">
              <w:r>
                <w:rPr>
                  <w:rStyle w:val="InternetLink"/>
                  <w:u w:val="single"/>
                </w:rPr>
                <w:t>10.1</w:t>
              </w:r>
            </w:hyperlink>
            <w:r>
              <w:rPr/>
              <w:t xml:space="preserve"> </w:t>
            </w:r>
          </w:p>
        </w:tc>
        <w:tc>
          <w:tcPr>
            <w:tcW w:w="963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Purchase and Sale Agreement, dated as of May 12, 2026, between Lincoln Technical Institute, Inc., as Buyer, and Melrose Omni, LLC, as Seller (incorporated by reference to Exhibit 10.1 of the Company’s Current Report on Form 8-K filed May 13, 2026). </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96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CCEEFF" w:val="clear"/>
            <w:tcMar>
              <w:top w:w="0" w:type="dxa"/>
              <w:left w:w="0" w:type="dxa"/>
              <w:bottom w:w="0" w:type="dxa"/>
              <w:right w:w="0" w:type="dxa"/>
            </w:tcMar>
            <w:vAlign w:val="center"/>
          </w:tcPr>
          <w:p>
            <w:pPr>
              <w:pStyle w:val="TableContents"/>
              <w:bidi w:val="0"/>
              <w:spacing w:before="0" w:after="0"/>
              <w:jc w:val="left"/>
              <w:rPr/>
            </w:pPr>
            <w:hyperlink r:id="rId6">
              <w:r>
                <w:rPr>
                  <w:rStyle w:val="InternetLink"/>
                  <w:u w:val="single"/>
                </w:rPr>
                <w:t>10.2</w:t>
              </w:r>
            </w:hyperlink>
            <w:r>
              <w:rPr/>
              <w:t xml:space="preserve"> </w:t>
            </w:r>
          </w:p>
        </w:tc>
        <w:tc>
          <w:tcPr>
            <w:tcW w:w="963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Amended and Restated Credit Agreement, dated as of April 13, 2026, by and among the Company, as Borrower, and the lenders referred to therein, including Fifth Third Bank, National Association, as lender and as administrative agent, joint lead arranger, and joint bookrunner, and Flagstar Bank, N.A., Provident Bank, and Santander Bank, N.A., as lenders and as joint lead arrangers and joint bookrunners (incorporated by reference to Exhibit 10.1 of the Company’s Current Report on Form 8-K filed April 16, 2026). </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96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CCEEFF" w:val="clear"/>
            <w:tcMar>
              <w:top w:w="0" w:type="dxa"/>
              <w:left w:w="0" w:type="dxa"/>
              <w:bottom w:w="0" w:type="dxa"/>
              <w:right w:w="0" w:type="dxa"/>
            </w:tcMar>
            <w:vAlign w:val="center"/>
          </w:tcPr>
          <w:p>
            <w:pPr>
              <w:pStyle w:val="TableContents"/>
              <w:bidi w:val="0"/>
              <w:spacing w:before="0" w:after="0"/>
              <w:jc w:val="left"/>
              <w:rPr/>
            </w:pPr>
            <w:hyperlink r:id="rId7">
              <w:r>
                <w:rPr>
                  <w:rStyle w:val="InternetLink"/>
                  <w:u w:val="single"/>
                </w:rPr>
                <w:t>10.3</w:t>
              </w:r>
            </w:hyperlink>
            <w:r>
              <w:rPr/>
              <w:t xml:space="preserve"> </w:t>
            </w:r>
          </w:p>
        </w:tc>
        <w:tc>
          <w:tcPr>
            <w:tcW w:w="963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Amended and Restated Guaranty and Security Agreement, dated as of April 13, 2026, by and among the Company, as Borrower, and its subsidiaries, Lincoln Technical Institute, Inc., New England Acquisition LLC, Nashville Acquisition, L.L.C., and NN Acquisition, LLC, as Guarantors in favor of Fifth Third Bank, National Association, as agent for the lenders (incorporated by reference to Exhibit 10.2 of the Company’s Current Report on Form 8-K filed April 16, 2026). </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96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5880_ex31-1.htm">
              <w:r>
                <w:rPr>
                  <w:rStyle w:val="InternetLink"/>
                  <w:u w:val="single"/>
                </w:rPr>
                <w:t>31.1*</w:t>
              </w:r>
            </w:hyperlink>
            <w:r>
              <w:rPr/>
              <w:t xml:space="preserve"> </w:t>
            </w:r>
          </w:p>
        </w:tc>
        <w:tc>
          <w:tcPr>
            <w:tcW w:w="963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Certification of Chief Executive Officer pursuant to Section 302 of the Sarbanes-Oxley Act of 2002. </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96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5880_ex31-2.htm">
              <w:r>
                <w:rPr>
                  <w:rStyle w:val="InternetLink"/>
                  <w:u w:val="single"/>
                </w:rPr>
                <w:t>31.2*</w:t>
              </w:r>
            </w:hyperlink>
            <w:r>
              <w:rPr/>
              <w:t xml:space="preserve"> </w:t>
            </w:r>
          </w:p>
        </w:tc>
        <w:tc>
          <w:tcPr>
            <w:tcW w:w="963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Certification of Chief Financial Officer pursuant to Section 302 of the Sarbanes-Oxley Act of 2002. </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96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5880_ex32.htm">
              <w:r>
                <w:rPr>
                  <w:rStyle w:val="InternetLink"/>
                  <w:u w:val="single"/>
                </w:rPr>
                <w:t>32**</w:t>
              </w:r>
            </w:hyperlink>
            <w:r>
              <w:rPr/>
              <w:t xml:space="preserve"> </w:t>
            </w:r>
          </w:p>
        </w:tc>
        <w:tc>
          <w:tcPr>
            <w:tcW w:w="963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Certification of Chief Executive Officer and Chief Financial Officer pursuant to 18 U.S.C. 1350, as adopted pursuant to Section 906 of the Sarbanes-Oxley Act of 2002. </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96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 </w:t>
            </w:r>
          </w:p>
        </w:tc>
        <w:tc>
          <w:tcPr>
            <w:tcW w:w="963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The following financial statements from the Company’s 10-Q for the quarter ended June 30, 2026, formatted in Inline eXtensible Business Reporting Language (“iXBRL”): (i) Condensed Consolidated Balance Sheets, (ii) Condensed Consolidated Statements of Operations, (iii) Condensed Consolidated Statements of Comprehensive (Loss) Income, (iv) Condensed Consolidated Statements of Changes in Stockholders’ Equity, (v) Condensed Consolidated Statements of Cash Flows and (vi) the Notes to Condensed Consolidated Financial Statements, tagged as blocks of text and in detail. </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96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104 </w:t>
            </w:r>
          </w:p>
        </w:tc>
        <w:tc>
          <w:tcPr>
            <w:tcW w:w="963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Cover Page Interactive Data File (formatted as iXBRL and contained in Exhibit 101)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720"/>
        <w:jc w:val="left"/>
        <w:rPr>
          <w:rFonts w:ascii="Times New Roman" w:hAnsi="Times New Roman"/>
          <w:sz w:val="20"/>
        </w:rPr>
      </w:pPr>
      <w:r>
        <w:rPr>
          <w:rFonts w:ascii="Times New Roman" w:hAnsi="Times New Roman"/>
          <w:sz w:val="20"/>
        </w:rPr>
        <w:t xml:space="preserve">Filed herewith.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sz w:val="20"/>
                              </w:rPr>
                              <w:t>*</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w:t>
                      </w:r>
                      <w:r>
                        <w:rPr/>
                        <w:t xml:space="preserve"> </w:t>
                      </w:r>
                    </w:p>
                  </w:txbxContent>
                </v:textbox>
                <w10:wrap type="square" side="right"/>
              </v:rect>
            </w:pict>
          </mc:Fallback>
        </mc:AlternateContent>
      </w:r>
    </w:p>
    <w:p>
      <w:pPr>
        <w:pStyle w:val="TextBody"/>
        <w:bidi w:val="0"/>
        <w:spacing w:before="0" w:after="0"/>
        <w:ind w:left="0" w:right="0" w:hanging="720"/>
        <w:jc w:val="left"/>
        <w:rPr>
          <w:rFonts w:ascii="Times New Roman" w:hAnsi="Times New Roman"/>
          <w:sz w:val="20"/>
        </w:rPr>
      </w:pPr>
      <w:r>
        <w:rPr>
          <w:rFonts w:ascii="Times New Roman" w:hAnsi="Times New Roman"/>
          <w:sz w:val="20"/>
        </w:rPr>
        <w:t xml:space="preserve">Furnished herewith. 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Exchange Act of 1934, as amended.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sz w:val="20"/>
                              </w:rPr>
                              <w:t>**</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b/>
                          <w:sz w:val="20"/>
                        </w:rPr>
                        <w:t>**</w:t>
                      </w:r>
                      <w:r>
                        <w:rPr/>
                        <w:t xml:space="preserve"> </w:t>
                      </w:r>
                    </w:p>
                  </w:txbxContent>
                </v:textbox>
                <w10:wrap type="square" side="right"/>
              </v:rect>
            </w:pict>
          </mc:Fallback>
        </mc:AlternateContent>
      </w:r>
    </w:p>
    <w:p>
      <w:pPr>
        <w:pStyle w:val="TextBody"/>
        <w:bidi w:val="0"/>
        <w:spacing w:before="0" w:after="0"/>
        <w:ind w:left="0" w:right="0" w:hanging="720"/>
        <w:jc w:val="left"/>
        <w:rPr/>
      </w:pPr>
      <w:r>
        <w:rPr/>
        <w:t> </w:t>
      </w:r>
    </w:p>
    <w:p>
      <w:pPr>
        <w:pStyle w:val="TextBody"/>
        <w:bidi w:val="0"/>
        <w:spacing w:before="0" w:after="0"/>
        <w:ind w:left="0" w:right="0" w:hanging="720"/>
        <w:jc w:val="left"/>
        <w:rPr/>
      </w:pPr>
      <w:r>
        <w:rPr/>
        <w:t> </w:t>
      </w:r>
    </w:p>
    <w:p>
      <w:pPr>
        <w:pStyle w:val="TextBody"/>
        <w:bidi w:val="0"/>
        <w:spacing w:before="0" w:after="0"/>
        <w:jc w:val="center"/>
        <w:rPr/>
      </w:pPr>
      <w:r>
        <w:rPr/>
        <w:t> </w:t>
      </w:r>
      <w:r>
        <w:rPr>
          <w:rFonts w:ascii="Times New Roman" w:hAnsi="Times New Roman"/>
          <w:sz w:val="16"/>
        </w:rPr>
        <w:t>32</w:t>
      </w:r>
    </w:p>
    <w:p>
      <w:pPr>
        <w:pStyle w:val="HorizontalLine"/>
        <w:pBdr>
          <w:bottom w:val="double" w:sz="2" w:space="0" w:color="808080"/>
        </w:pBdr>
        <w:bidi w:val="0"/>
        <w:spacing w:before="0" w:after="283"/>
        <w:jc w:val="left"/>
        <w:rPr/>
      </w:pPr>
      <w:r>
        <w:rPr/>
      </w:r>
    </w:p>
    <w:p>
      <w:pPr>
        <w:pStyle w:val="HorizontalLine"/>
        <w:bidi w:val="0"/>
        <w:jc w:val="left"/>
        <w:rPr/>
      </w:pPr>
      <w:r>
        <w:rPr/>
      </w:r>
      <w:bookmarkStart w:id="24" w:name="ef20075880_ex31-1.htm"/>
      <w:bookmarkStart w:id="25" w:name="ksef20075880_ex311"/>
      <w:bookmarkStart w:id="26" w:name="ef20075880_ex31-1.htm"/>
      <w:bookmarkStart w:id="27" w:name="ksef20075880_ex311"/>
      <w:bookmarkEnd w:id="26"/>
      <w:bookmarkEnd w:id="27"/>
      <w:r>
        <w:br w:type="page"/>
      </w:r>
    </w:p>
    <w:p>
      <w:pPr>
        <w:pStyle w:val="TextBody"/>
        <w:bidi w:val="0"/>
        <w:spacing w:before="0" w:after="0"/>
        <w:jc w:val="right"/>
        <w:rPr>
          <w:sz w:val="20"/>
        </w:rPr>
      </w:pPr>
      <w:r>
        <w:rPr>
          <w:b/>
          <w:color w:val="000000"/>
          <w:sz w:val="20"/>
        </w:rPr>
        <w:t>EXHIBIT 31.1</w:t>
      </w:r>
      <w:r>
        <w:rPr>
          <w:sz w:val="20"/>
        </w:rPr>
        <w:t xml:space="preserve"> </w:t>
      </w:r>
    </w:p>
    <w:p>
      <w:pPr>
        <w:pStyle w:val="TextBody"/>
        <w:bidi w:val="0"/>
        <w:spacing w:before="0" w:after="0"/>
        <w:jc w:val="right"/>
        <w:rPr/>
      </w:pPr>
      <w:r>
        <w:rPr/>
        <w:t xml:space="preserve">  </w:t>
      </w:r>
    </w:p>
    <w:p>
      <w:pPr>
        <w:pStyle w:val="TextBody"/>
        <w:bidi w:val="0"/>
        <w:spacing w:before="0" w:after="0"/>
        <w:jc w:val="center"/>
        <w:rPr>
          <w:sz w:val="20"/>
        </w:rPr>
      </w:pPr>
      <w:r>
        <w:rPr>
          <w:b/>
          <w:color w:val="000000"/>
          <w:sz w:val="20"/>
        </w:rPr>
        <w:t>CERTIFICATION</w:t>
      </w:r>
      <w:r>
        <w:rPr>
          <w:sz w:val="20"/>
        </w:rPr>
        <w:t xml:space="preserve"> </w:t>
      </w:r>
    </w:p>
    <w:p>
      <w:pPr>
        <w:pStyle w:val="TextBody"/>
        <w:bidi w:val="0"/>
        <w:spacing w:before="0" w:after="0"/>
        <w:jc w:val="center"/>
        <w:rPr/>
      </w:pPr>
      <w:r>
        <w:rPr/>
        <w:t xml:space="preserve">  </w:t>
      </w:r>
    </w:p>
    <w:p>
      <w:pPr>
        <w:pStyle w:val="TextBody"/>
        <w:bidi w:val="0"/>
        <w:spacing w:before="0" w:after="0"/>
        <w:jc w:val="left"/>
        <w:rPr>
          <w:sz w:val="20"/>
        </w:rPr>
      </w:pPr>
      <w:r>
        <w:rPr>
          <w:color w:val="000000"/>
          <w:sz w:val="20"/>
        </w:rPr>
        <w:t>I, Scott M. Shaw, certify that:</w:t>
      </w:r>
      <w:r>
        <w:rPr>
          <w:sz w:val="20"/>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sz w:val="20"/>
        </w:rPr>
      </w:pPr>
      <w:r>
        <w:rPr>
          <w:color w:val="000000"/>
          <w:sz w:val="20"/>
        </w:rPr>
        <w:t>I have reviewed this Quarterly Report on Form 10-Q of Lincoln Educational Services Corporation;</w:t>
      </w:r>
      <w:r>
        <w:rPr>
          <w:sz w:val="20"/>
        </w:rPr>
        <w:t xml:space="preserve">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228600" cy="146685"/>
                <wp:effectExtent l="0" t="0" r="0" b="0"/>
                <wp:wrapSquare wrapText="right"/>
                <wp:docPr id="73" name="Frame73"/>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1.</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1.</w:t>
                      </w:r>
                      <w:r>
                        <w:rPr>
                          <w:sz w:val="20"/>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sz w:val="20"/>
        </w:rPr>
      </w:pPr>
      <w:r>
        <w:rPr>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sz w:val="20"/>
        </w:rPr>
        <w:t xml:space="preserve">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228600" cy="146685"/>
                <wp:effectExtent l="0" t="0" r="0" b="0"/>
                <wp:wrapSquare wrapText="right"/>
                <wp:docPr id="74" name="Frame74"/>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2.</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2.</w:t>
                      </w:r>
                      <w:r>
                        <w:rPr>
                          <w:sz w:val="20"/>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sz w:val="20"/>
        </w:rPr>
      </w:pPr>
      <w:r>
        <w:rPr>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sz w:val="20"/>
        </w:rPr>
        <w:t xml:space="preserve">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228600" cy="146685"/>
                <wp:effectExtent l="0" t="0" r="0" b="0"/>
                <wp:wrapSquare wrapText="right"/>
                <wp:docPr id="75" name="Frame75"/>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3.</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3.</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sz w:val="20"/>
        </w:rPr>
      </w:pPr>
      <w:r>
        <w:rPr>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sz w:val="20"/>
        </w:rPr>
        <w:t xml:space="preserve">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228600" cy="146685"/>
                <wp:effectExtent l="0" t="0" r="0" b="0"/>
                <wp:wrapSquare wrapText="right"/>
                <wp:docPr id="76" name="Frame76"/>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4.</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4.</w:t>
                      </w:r>
                      <w:r>
                        <w:rPr>
                          <w:sz w:val="20"/>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sz w:val="20"/>
        </w:rPr>
      </w:pPr>
      <w:r>
        <w:rPr>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sz w:val="20"/>
        </w:rPr>
        <w:t xml:space="preserve">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228600" cy="146685"/>
                <wp:effectExtent l="0" t="0" r="0" b="0"/>
                <wp:wrapSquare wrapText="right"/>
                <wp:docPr id="77" name="Frame77"/>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a.</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a.</w:t>
                      </w:r>
                      <w:r>
                        <w:rPr>
                          <w:sz w:val="20"/>
                        </w:rPr>
                        <w:t xml:space="preserve">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hanging="360"/>
        <w:jc w:val="left"/>
        <w:rPr>
          <w:sz w:val="20"/>
        </w:rPr>
      </w:pPr>
      <w:r>
        <w:rPr>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sz w:val="20"/>
        </w:rPr>
        <w:t xml:space="preserve">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228600" cy="146685"/>
                <wp:effectExtent l="0" t="0" r="0" b="0"/>
                <wp:wrapSquare wrapText="right"/>
                <wp:docPr id="78" name="Frame78"/>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b.</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b.</w:t>
                      </w:r>
                      <w:r>
                        <w:rPr>
                          <w:sz w:val="20"/>
                        </w:rPr>
                        <w:t xml:space="preserve">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hanging="360"/>
        <w:jc w:val="left"/>
        <w:rPr>
          <w:sz w:val="20"/>
        </w:rPr>
      </w:pPr>
      <w:r>
        <w:rPr>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sz w:val="20"/>
        </w:rPr>
        <w:t xml:space="preserve">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228600" cy="146685"/>
                <wp:effectExtent l="0" t="0" r="0" b="0"/>
                <wp:wrapSquare wrapText="right"/>
                <wp:docPr id="79" name="Frame79"/>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c.</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c.</w:t>
                      </w:r>
                      <w:r>
                        <w:rPr>
                          <w:sz w:val="20"/>
                        </w:rPr>
                        <w:t xml:space="preserve">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hanging="360"/>
        <w:jc w:val="left"/>
        <w:rPr>
          <w:sz w:val="20"/>
        </w:rPr>
      </w:pPr>
      <w:r>
        <w:rPr>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r>
        <w:rPr>
          <w:sz w:val="20"/>
        </w:rPr>
        <w:t xml:space="preserve">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228600" cy="146685"/>
                <wp:effectExtent l="0" t="0" r="0" b="0"/>
                <wp:wrapSquare wrapText="right"/>
                <wp:docPr id="80" name="Frame80"/>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d.</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d.</w:t>
                      </w:r>
                      <w:r>
                        <w:rPr>
                          <w:sz w:val="20"/>
                        </w:rPr>
                        <w:t xml:space="preserve">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hanging="360"/>
        <w:jc w:val="left"/>
        <w:rPr>
          <w:sz w:val="20"/>
        </w:rPr>
      </w:pPr>
      <w:r>
        <w:rPr>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sz w:val="20"/>
        </w:rPr>
        <w:t xml:space="preserve"> </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228600" cy="146685"/>
                <wp:effectExtent l="0" t="0" r="0" b="0"/>
                <wp:wrapSquare wrapText="right"/>
                <wp:docPr id="81" name="Frame81"/>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5.</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5.</w:t>
                      </w:r>
                      <w:r>
                        <w:rPr>
                          <w:sz w:val="20"/>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sz w:val="20"/>
        </w:rPr>
      </w:pPr>
      <w:r>
        <w:rPr>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r>
        <w:rPr>
          <w:sz w:val="20"/>
        </w:rPr>
        <w:t xml:space="preserve"> </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228600" cy="146685"/>
                <wp:effectExtent l="0" t="0" r="0" b="0"/>
                <wp:wrapSquare wrapText="right"/>
                <wp:docPr id="82" name="Frame82"/>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1.</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1.</w:t>
                      </w:r>
                      <w:r>
                        <w:rPr>
                          <w:sz w:val="20"/>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sz w:val="20"/>
        </w:rPr>
      </w:pPr>
      <w:r>
        <w:rPr>
          <w:color w:val="000000"/>
          <w:sz w:val="20"/>
        </w:rPr>
        <w:t>Any fraud, whether or not material, that involves management or other employees who have a significant role in the registrant’s internal control over financial reporting.</w:t>
      </w:r>
      <w:r>
        <w:rPr>
          <w:sz w:val="20"/>
        </w:rPr>
        <w:t xml:space="preserve">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228600" cy="146685"/>
                <wp:effectExtent l="0" t="0" r="0" b="0"/>
                <wp:wrapSquare wrapText="right"/>
                <wp:docPr id="83" name="Frame83"/>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2.</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2.</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Date: August 10, 2026</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u w:val="single"/>
        </w:rPr>
        <w:t>/s/ Scott  M. Shaw</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Scott M. Shaw</w:t>
      </w:r>
      <w:r>
        <w:rPr>
          <w:sz w:val="20"/>
        </w:rPr>
        <w:t xml:space="preserve"> </w:t>
      </w:r>
    </w:p>
    <w:p>
      <w:pPr>
        <w:pStyle w:val="TextBody"/>
        <w:bidi w:val="0"/>
        <w:spacing w:before="0" w:after="0"/>
        <w:jc w:val="left"/>
        <w:rPr>
          <w:sz w:val="20"/>
        </w:rPr>
      </w:pPr>
      <w:r>
        <w:rPr>
          <w:color w:val="000000"/>
          <w:sz w:val="20"/>
        </w:rPr>
        <w:t>Chief Executive Officer</w:t>
      </w:r>
      <w:r>
        <w:rPr>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28" w:name="ef20075880_ex31-2.htm"/>
      <w:bookmarkStart w:id="29" w:name="ksef20075880_ex312"/>
      <w:bookmarkStart w:id="30" w:name="ef20075880_ex31-2.htm"/>
      <w:bookmarkStart w:id="31" w:name="ksef20075880_ex312"/>
      <w:bookmarkEnd w:id="30"/>
      <w:bookmarkEnd w:id="31"/>
      <w:r>
        <w:br w:type="page"/>
      </w:r>
    </w:p>
    <w:p>
      <w:pPr>
        <w:pStyle w:val="TextBody"/>
        <w:bidi w:val="0"/>
        <w:spacing w:before="0" w:after="0"/>
        <w:jc w:val="right"/>
        <w:rPr>
          <w:sz w:val="20"/>
        </w:rPr>
      </w:pPr>
      <w:r>
        <w:rPr>
          <w:b/>
          <w:sz w:val="20"/>
        </w:rPr>
        <w:t>EXHIBIT 31.2</w:t>
      </w:r>
      <w:r>
        <w:rPr>
          <w:sz w:val="20"/>
        </w:rPr>
        <w:t xml:space="preserve"> </w:t>
      </w:r>
    </w:p>
    <w:p>
      <w:pPr>
        <w:pStyle w:val="TextBody"/>
        <w:bidi w:val="0"/>
        <w:spacing w:before="0" w:after="0"/>
        <w:jc w:val="right"/>
        <w:rPr/>
      </w:pPr>
      <w:r>
        <w:rPr/>
        <w:t xml:space="preserve">  </w:t>
      </w:r>
    </w:p>
    <w:p>
      <w:pPr>
        <w:pStyle w:val="TextBody"/>
        <w:bidi w:val="0"/>
        <w:spacing w:before="0" w:after="0"/>
        <w:jc w:val="center"/>
        <w:rPr>
          <w:sz w:val="20"/>
        </w:rPr>
      </w:pPr>
      <w:r>
        <w:rPr>
          <w:b/>
          <w:sz w:val="20"/>
        </w:rPr>
        <w:t>CERTIFICATION</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sz w:val="20"/>
        </w:rPr>
        <w:t xml:space="preserve">I, Brian K. Meyers, certify that: </w:t>
      </w:r>
    </w:p>
    <w:p>
      <w:pPr>
        <w:pStyle w:val="TextBody"/>
        <w:bidi w:val="0"/>
        <w:spacing w:before="0" w:after="0"/>
        <w:jc w:val="left"/>
        <w:rPr/>
      </w:pPr>
      <w:r>
        <w:rPr/>
        <w:t xml:space="preserve">  </w:t>
      </w:r>
    </w:p>
    <w:p>
      <w:pPr>
        <w:pStyle w:val="TextBody"/>
        <w:bidi w:val="0"/>
        <w:spacing w:before="0" w:after="0"/>
        <w:ind w:left="0" w:right="0" w:hanging="360"/>
        <w:jc w:val="both"/>
        <w:rPr>
          <w:sz w:val="20"/>
        </w:rPr>
      </w:pPr>
      <w:r>
        <w:rPr>
          <w:sz w:val="20"/>
        </w:rPr>
        <w:t xml:space="preserve">I have reviewed this Quarterly Report on Form 10-Q of Lincoln Educational Services Corporation;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228600" cy="146685"/>
                <wp:effectExtent l="0" t="0" r="0" b="0"/>
                <wp:wrapSquare wrapText="right"/>
                <wp:docPr id="84" name="Frame84"/>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1.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1.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sz w:val="20"/>
        </w:rPr>
      </w:pPr>
      <w:r>
        <w:rPr>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228600" cy="146685"/>
                <wp:effectExtent l="0" t="0" r="0" b="0"/>
                <wp:wrapSquare wrapText="right"/>
                <wp:docPr id="85" name="Frame85"/>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2.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2.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sz w:val="20"/>
        </w:rPr>
      </w:pPr>
      <w:r>
        <w:rPr>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228600" cy="146685"/>
                <wp:effectExtent l="0" t="0" r="0" b="0"/>
                <wp:wrapSquare wrapText="right"/>
                <wp:docPr id="86" name="Frame86"/>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3.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3.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sz w:val="20"/>
        </w:rPr>
      </w:pPr>
      <w:r>
        <w:rPr>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228600" cy="146685"/>
                <wp:effectExtent l="0" t="0" r="0" b="0"/>
                <wp:wrapSquare wrapText="right"/>
                <wp:docPr id="87" name="Frame87"/>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4.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4.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sz w:val="20"/>
        </w:rPr>
      </w:pPr>
      <w:r>
        <w:rPr>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228600" cy="146685"/>
                <wp:effectExtent l="0" t="0" r="0" b="0"/>
                <wp:wrapSquare wrapText="right"/>
                <wp:docPr id="88" name="Frame88"/>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a.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a.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sz w:val="20"/>
        </w:rPr>
      </w:pPr>
      <w:r>
        <w:rPr>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228600" cy="146685"/>
                <wp:effectExtent l="0" t="0" r="0" b="0"/>
                <wp:wrapSquare wrapText="right"/>
                <wp:docPr id="89" name="Frame89"/>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b.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b.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sz w:val="20"/>
        </w:rPr>
      </w:pPr>
      <w:r>
        <w:rPr>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228600" cy="146685"/>
                <wp:effectExtent l="0" t="0" r="0" b="0"/>
                <wp:wrapSquare wrapText="right"/>
                <wp:docPr id="90" name="Frame90"/>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c.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c.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sz w:val="20"/>
        </w:rPr>
      </w:pPr>
      <w:r>
        <w:rPr>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228600" cy="146685"/>
                <wp:effectExtent l="0" t="0" r="0" b="0"/>
                <wp:wrapSquare wrapText="right"/>
                <wp:docPr id="91" name="Frame91"/>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d.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d.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sz w:val="20"/>
        </w:rPr>
      </w:pPr>
      <w:r>
        <w:rPr>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228600" cy="146685"/>
                <wp:effectExtent l="0" t="0" r="0" b="0"/>
                <wp:wrapSquare wrapText="right"/>
                <wp:docPr id="92" name="Frame92"/>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5.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5.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sz w:val="20"/>
        </w:rPr>
      </w:pPr>
      <w:r>
        <w:rPr>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228600" cy="146685"/>
                <wp:effectExtent l="0" t="0" r="0" b="0"/>
                <wp:wrapSquare wrapText="right"/>
                <wp:docPr id="93" name="Frame93"/>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a.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a.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sz w:val="20"/>
        </w:rPr>
      </w:pPr>
      <w:r>
        <w:rPr>
          <w:sz w:val="20"/>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228600" cy="146685"/>
                <wp:effectExtent l="0" t="0" r="0" b="0"/>
                <wp:wrapSquare wrapText="right"/>
                <wp:docPr id="94" name="Frame94"/>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b.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b.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jc w:val="left"/>
        <w:rPr>
          <w:sz w:val="20"/>
        </w:rPr>
      </w:pPr>
      <w:r>
        <w:rPr>
          <w:sz w:val="20"/>
        </w:rPr>
        <w:t xml:space="preserve">Date: </w:t>
      </w:r>
      <w:r>
        <w:rPr>
          <w:color w:val="000000"/>
          <w:sz w:val="20"/>
        </w:rPr>
        <w:t>August 10, 2026</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u w:val="single"/>
        </w:rPr>
        <w:t>/s/ Brian K. Meyers</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Brian K. Meyers</w:t>
      </w:r>
      <w:r>
        <w:rPr>
          <w:sz w:val="20"/>
        </w:rPr>
        <w:t xml:space="preserve"> </w:t>
      </w:r>
    </w:p>
    <w:p>
      <w:pPr>
        <w:pStyle w:val="TextBody"/>
        <w:bidi w:val="0"/>
        <w:spacing w:before="0" w:after="0"/>
        <w:jc w:val="left"/>
        <w:rPr>
          <w:sz w:val="20"/>
        </w:rPr>
      </w:pPr>
      <w:r>
        <w:rPr>
          <w:color w:val="000000"/>
          <w:sz w:val="20"/>
        </w:rPr>
        <w:t>Chief Financial Officer</w:t>
      </w:r>
      <w:r>
        <w:rPr>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32" w:name="ef20075880_ex32.htm"/>
      <w:bookmarkStart w:id="33" w:name="ksef20075880_ex32"/>
      <w:bookmarkStart w:id="34" w:name="ef20075880_ex32.htm"/>
      <w:bookmarkStart w:id="35" w:name="ksef20075880_ex32"/>
      <w:bookmarkEnd w:id="34"/>
      <w:bookmarkEnd w:id="35"/>
      <w:r>
        <w:br w:type="page"/>
      </w:r>
    </w:p>
    <w:p>
      <w:pPr>
        <w:pStyle w:val="TextBody"/>
        <w:bidi w:val="0"/>
        <w:spacing w:before="0" w:after="0"/>
        <w:jc w:val="right"/>
        <w:rPr>
          <w:sz w:val="20"/>
        </w:rPr>
      </w:pPr>
      <w:r>
        <w:rPr>
          <w:b/>
          <w:color w:val="000000"/>
          <w:sz w:val="20"/>
        </w:rPr>
        <w:t>EXHIBIT 32</w:t>
      </w:r>
      <w:r>
        <w:rPr>
          <w:sz w:val="20"/>
        </w:rPr>
        <w:t xml:space="preserve"> </w:t>
      </w:r>
    </w:p>
    <w:p>
      <w:pPr>
        <w:pStyle w:val="TextBody"/>
        <w:bidi w:val="0"/>
        <w:spacing w:before="0" w:after="0"/>
        <w:jc w:val="right"/>
        <w:rPr/>
      </w:pPr>
      <w:r>
        <w:rPr/>
        <w:t xml:space="preserve">  </w:t>
      </w:r>
    </w:p>
    <w:p>
      <w:pPr>
        <w:pStyle w:val="TextBody"/>
        <w:bidi w:val="0"/>
        <w:spacing w:before="0" w:after="0"/>
        <w:jc w:val="center"/>
        <w:rPr>
          <w:sz w:val="20"/>
        </w:rPr>
      </w:pPr>
      <w:r>
        <w:rPr>
          <w:b/>
          <w:color w:val="000000"/>
          <w:sz w:val="20"/>
        </w:rPr>
        <w:t>CERTIFICATION</w:t>
      </w:r>
      <w:r>
        <w:rPr>
          <w:sz w:val="20"/>
        </w:rPr>
        <w:t xml:space="preserve"> </w:t>
      </w:r>
    </w:p>
    <w:p>
      <w:pPr>
        <w:pStyle w:val="TextBody"/>
        <w:bidi w:val="0"/>
        <w:spacing w:before="0" w:after="0"/>
        <w:jc w:val="center"/>
        <w:rPr>
          <w:sz w:val="20"/>
        </w:rPr>
      </w:pPr>
      <w:r>
        <w:rPr>
          <w:b/>
          <w:sz w:val="20"/>
        </w:rPr>
        <w:t>Pursuant to 18 U.S.C. § 1350 as adopted by</w:t>
      </w:r>
      <w:r>
        <w:rPr>
          <w:sz w:val="20"/>
        </w:rPr>
        <w:t xml:space="preserve"> </w:t>
      </w:r>
    </w:p>
    <w:p>
      <w:pPr>
        <w:pStyle w:val="TextBody"/>
        <w:bidi w:val="0"/>
        <w:spacing w:before="0" w:after="0"/>
        <w:jc w:val="center"/>
        <w:rPr>
          <w:sz w:val="20"/>
        </w:rPr>
      </w:pPr>
      <w:r>
        <w:rPr>
          <w:b/>
          <w:color w:val="000000"/>
          <w:sz w:val="20"/>
        </w:rPr>
        <w:t>Section 906 of the Sarbanes-Oxley Act of 2002</w:t>
      </w:r>
      <w:r>
        <w:rPr>
          <w:sz w:val="20"/>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sz w:val="20"/>
        </w:rPr>
      </w:pPr>
      <w:r>
        <w:rPr>
          <w:color w:val="000000"/>
          <w:sz w:val="20"/>
        </w:rPr>
        <w:t>Each of the undersigned, Scott M. Shaw, Chief Executive Officer of Lincoln Educational Services Corporation (the “Company”), and Brian K. Meyers, Chief Financial Officer of the Company, has executed this certification in connection with the filing with the Securities and Exchange Commission of the Company’s Quarterly Report on Form 10-Q for the fiscal quarter ended June 30, 2026 (the “Report”).</w:t>
      </w:r>
      <w:r>
        <w:rPr>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sz w:val="20"/>
        </w:rPr>
      </w:pPr>
      <w:r>
        <w:rPr>
          <w:color w:val="000000"/>
          <w:sz w:val="20"/>
        </w:rPr>
        <w:t>Each of the undersigned hereby certifies that, to his respective knowledge:</w:t>
      </w:r>
      <w:r>
        <w:rPr>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sz w:val="20"/>
        </w:rPr>
      </w:pPr>
      <w:r>
        <w:rPr>
          <w:color w:val="000000"/>
          <w:sz w:val="20"/>
        </w:rPr>
        <w:t>The Report fully complies with the requirements of Section 13(a) or 15(d) of the Securities Exchange Act of 1934; and</w:t>
      </w:r>
      <w:r>
        <w:rPr>
          <w:sz w:val="20"/>
        </w:rPr>
        <w:t xml:space="preserve">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228600" cy="146685"/>
                <wp:effectExtent l="0" t="0" r="0" b="0"/>
                <wp:wrapSquare wrapText="right"/>
                <wp:docPr id="95" name="Frame95"/>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1.</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1.</w:t>
                      </w:r>
                      <w:r>
                        <w:rPr>
                          <w:sz w:val="20"/>
                        </w:rPr>
                        <w:t xml:space="preserve"> </w:t>
                      </w:r>
                    </w:p>
                  </w:txbxContent>
                </v:textbox>
                <w10:wrap type="square" side="right"/>
              </v:rect>
            </w:pict>
          </mc:Fallback>
        </mc:AlternateContent>
      </w:r>
    </w:p>
    <w:p>
      <w:pPr>
        <w:pStyle w:val="TextBody"/>
        <w:bidi w:val="0"/>
        <w:spacing w:before="0" w:after="0"/>
        <w:ind w:left="900" w:right="0" w:hanging="0"/>
        <w:jc w:val="both"/>
        <w:rPr/>
      </w:pPr>
      <w:r>
        <w:rPr/>
        <w:t xml:space="preserve">  </w:t>
      </w:r>
    </w:p>
    <w:p>
      <w:pPr>
        <w:pStyle w:val="TextBody"/>
        <w:bidi w:val="0"/>
        <w:spacing w:before="0" w:after="0"/>
        <w:ind w:left="0" w:right="0" w:hanging="360"/>
        <w:jc w:val="both"/>
        <w:rPr>
          <w:sz w:val="20"/>
        </w:rPr>
      </w:pPr>
      <w:r>
        <w:rPr>
          <w:color w:val="000000"/>
          <w:sz w:val="20"/>
        </w:rPr>
        <w:t>The information contained in the Report fairly presents, in all material respects, the financial condition and results of operations of the Company.</w:t>
      </w:r>
      <w:r>
        <w:rPr>
          <w:sz w:val="20"/>
        </w:rPr>
        <w:t xml:space="preserve"> </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228600" cy="146685"/>
                <wp:effectExtent l="0" t="0" r="0" b="0"/>
                <wp:wrapSquare wrapText="right"/>
                <wp:docPr id="96" name="Frame96"/>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2.</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2.</w:t>
                      </w:r>
                      <w:r>
                        <w:rPr>
                          <w:sz w:val="20"/>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sz w:val="20"/>
        </w:rPr>
      </w:pPr>
      <w:r>
        <w:rPr>
          <w:color w:val="000000"/>
          <w:sz w:val="20"/>
        </w:rPr>
        <w:t>Date:</w:t>
      </w:r>
      <w:r>
        <w:rPr>
          <w:sz w:val="20"/>
        </w:rPr>
        <w:t xml:space="preserve"> </w:t>
      </w:r>
    </w:p>
    <w:p>
      <w:pPr>
        <w:pStyle w:val="TextBody"/>
        <w:bidi w:val="0"/>
        <w:spacing w:before="0" w:after="0"/>
        <w:jc w:val="both"/>
        <w:rPr>
          <w:sz w:val="20"/>
        </w:rPr>
      </w:pPr>
      <w:r>
        <w:rPr>
          <w:color w:val="000000"/>
          <w:sz w:val="20"/>
        </w:rPr>
        <w:t>August 10, 2026</w:t>
      </w:r>
      <w:r>
        <w:rPr>
          <w:sz w:val="20"/>
        </w:rPr>
        <w:t xml:space="preserve"> </w:t>
      </w:r>
    </w:p>
    <w:p>
      <w:pPr>
        <w:pStyle w:val="TextBody"/>
        <w:bidi w:val="0"/>
        <w:spacing w:before="0" w:after="0"/>
        <w:jc w:val="both"/>
        <w:rPr/>
      </w:pPr>
      <w:r>
        <w:rPr/>
        <w:t xml:space="preserve">  </w:t>
      </w:r>
    </w:p>
    <w:p>
      <w:pPr>
        <w:pStyle w:val="TextBody"/>
        <w:bidi w:val="0"/>
        <w:spacing w:before="0" w:after="0"/>
        <w:jc w:val="left"/>
        <w:rPr>
          <w:sz w:val="20"/>
        </w:rPr>
      </w:pPr>
      <w:r>
        <w:rPr>
          <w:sz w:val="20"/>
          <w:u w:val="single"/>
        </w:rPr>
        <w:t>/s/ Scott M. Shaw</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sz w:val="20"/>
        </w:rPr>
        <w:t xml:space="preserve">Scott M. Shaw </w:t>
      </w:r>
    </w:p>
    <w:p>
      <w:pPr>
        <w:pStyle w:val="TextBody"/>
        <w:bidi w:val="0"/>
        <w:spacing w:before="0" w:after="0"/>
        <w:jc w:val="left"/>
        <w:rPr>
          <w:sz w:val="20"/>
        </w:rPr>
      </w:pPr>
      <w:r>
        <w:rPr>
          <w:sz w:val="20"/>
        </w:rPr>
        <w:t xml:space="preserve">Chief Executive Officer </w:t>
      </w:r>
    </w:p>
    <w:p>
      <w:pPr>
        <w:pStyle w:val="TextBody"/>
        <w:bidi w:val="0"/>
        <w:spacing w:before="0" w:after="0"/>
        <w:ind w:left="4320" w:right="0" w:hanging="0"/>
        <w:jc w:val="both"/>
        <w:rPr/>
      </w:pPr>
      <w:r>
        <w:rPr/>
        <w:t xml:space="preserve">  </w:t>
      </w:r>
    </w:p>
    <w:p>
      <w:pPr>
        <w:pStyle w:val="TextBody"/>
        <w:bidi w:val="0"/>
        <w:spacing w:before="0" w:after="0"/>
        <w:jc w:val="left"/>
        <w:rPr>
          <w:sz w:val="20"/>
        </w:rPr>
      </w:pPr>
      <w:r>
        <w:rPr>
          <w:color w:val="000000"/>
          <w:sz w:val="20"/>
          <w:u w:val="single"/>
        </w:rPr>
        <w:t>/s/ Brian K. Meyers</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sz w:val="20"/>
        </w:rPr>
        <w:t xml:space="preserve">Brian K. Meyers </w:t>
      </w:r>
    </w:p>
    <w:p>
      <w:pPr>
        <w:pStyle w:val="TextBody"/>
        <w:bidi w:val="0"/>
        <w:spacing w:before="0" w:after="0"/>
        <w:jc w:val="both"/>
        <w:rPr>
          <w:sz w:val="20"/>
        </w:rPr>
      </w:pPr>
      <w:r>
        <w:rPr>
          <w:sz w:val="20"/>
        </w:rPr>
        <w:t xml:space="preserve">Chief Financial Officer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6613/000104746905016616/a2158903zex-3_2.htm" TargetMode="External"/><Relationship Id="rId3" Type="http://schemas.openxmlformats.org/officeDocument/2006/relationships/hyperlink" Target="https://www.sec.gov/Archives/edgar/data/1286613/000101905620000522/ex3_2.htm" TargetMode="External"/><Relationship Id="rId4" Type="http://schemas.openxmlformats.org/officeDocument/2006/relationships/hyperlink" Target="https://www.sec.gov/Archives/edgar/data/1286613/000114036120010265/ex3_1.htm" TargetMode="External"/><Relationship Id="rId5" Type="http://schemas.openxmlformats.org/officeDocument/2006/relationships/hyperlink" Target="https://www.sec.gov/Archives/edgar/data/1286613/000114036126021084/ef20073367_ex10-1.htm" TargetMode="External"/><Relationship Id="rId6" Type="http://schemas.openxmlformats.org/officeDocument/2006/relationships/hyperlink" Target="https://www.sec.gov/Archives/edgar/data/1286613/000114036126014854/ef20070646_ex10-1.htm" TargetMode="External"/><Relationship Id="rId7" Type="http://schemas.openxmlformats.org/officeDocument/2006/relationships/hyperlink" Target="https://www.sec.gov/Archives/edgar/data/1286613/000114036126014854/ef20070646_ex10-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18109</Words>
  <Characters>100401</Characters>
  <CharactersWithSpaces>122728</CharactersWithSpaces>
  <Paragraphs>7247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