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Juniper Investment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MADISON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10022-3315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LINCOLN EDUCATIONAL SERVICES CORP</w:t>
              </w:r>
            </w:hyperlink>
            <w:r>
              <w:rPr/>
              <w:t xml:space="preserve"> [ </w:t>
            </w:r>
            <w:r>
              <w:rPr>
                <w:rFonts w:ascii="Times;serif" w:hAnsi="Times;serif"/>
                <w:color w:val="0000FF"/>
                <w:sz w:val="24"/>
                <w:shd w:fill="FFFFFF" w:val="clear"/>
              </w:rPr>
              <w:t>LINC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Affiliate</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8"/>
        <w:gridCol w:w="922"/>
        <w:gridCol w:w="793"/>
        <w:gridCol w:w="612"/>
        <w:gridCol w:w="333"/>
        <w:gridCol w:w="891"/>
        <w:gridCol w:w="400"/>
        <w:gridCol w:w="1001"/>
        <w:gridCol w:w="1225"/>
        <w:gridCol w:w="941"/>
        <w:gridCol w:w="13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 per share</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11,812</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47.8657</w:t>
            </w:r>
            <w:r>
              <w:rPr>
                <w:rFonts w:ascii="Times;serif" w:hAnsi="Times;serif"/>
                <w:color w:val="008000"/>
                <w:position w:val="7"/>
                <w:sz w:val="16"/>
                <w:sz w:val="20"/>
                <w:shd w:fill="FFFFFF" w:val="clear"/>
              </w:rPr>
              <w:t>(1)</w:t>
            </w:r>
            <w:r>
              <w:rPr/>
              <w:t xml:space="preserve"> </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1,781,778</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Juniper Targeted Opportunity Fund, L.P.</w:t>
            </w:r>
            <w:r>
              <w:rPr>
                <w:rFonts w:ascii="Times;serif" w:hAnsi="Times;serif"/>
                <w:color w:val="008000"/>
                <w:position w:val="7"/>
                <w:sz w:val="16"/>
                <w:sz w:val="20"/>
                <w:shd w:fill="FFFFFF" w:val="clear"/>
              </w:rPr>
              <w:t>(2)</w:t>
            </w:r>
            <w:r>
              <w:rPr/>
              <w:t xml:space="preserve"> </w:t>
            </w:r>
          </w:p>
        </w:tc>
      </w:tr>
      <w:tr>
        <w:trPr/>
        <w:tc>
          <w:tcPr>
            <w:tcW w:w="17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 per share</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37,000</w:t>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46.8841</w:t>
            </w:r>
            <w:r>
              <w:rPr>
                <w:rFonts w:ascii="Times;serif" w:hAnsi="Times;serif"/>
                <w:color w:val="008000"/>
                <w:position w:val="7"/>
                <w:sz w:val="16"/>
                <w:sz w:val="20"/>
                <w:shd w:fill="FFFFFF" w:val="clear"/>
              </w:rPr>
              <w:t>(3)</w:t>
            </w:r>
            <w:r>
              <w:rPr/>
              <w:t xml:space="preserve"> </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1,732,966</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Juniper Targeted Opportunity Fund,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per share price with a range from $47.6500 and $48.1800. The reporting person undertakes to provide details of the trades to the Issuer or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1,732,966 shares held by Juniper Targeted Opportunity Fund, L.P. (the "Juniper Fund"), of which Juniper Investment Company, LLC ("Juniper Investment") serves as the investment advisor. John A. Bartholdson, the Chairman of the Board of the Issuer, and another individual serve as the managing members of Juniper Investment. As a result, Mr. Bartholdson shares voting and dispositive power over such shares with the Juniper Fund, Juniper Investment and the other individual. Mr. Bartholdson disclaims beneficial ownership of such shares reflected herein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per share price with a range from $46.2200 and $48.0300. The reporting person undertakes to provide details of the trades to the Issuer or the Securities and Exchange Commission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Juniper Investment Company, LLC, By: /s/ John A. Bartholdson,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Juniper Targeted Opportunity Fund, L.P., By: /s/ John A. Bartholdson, the Managing Member of its general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4034" TargetMode="External"/><Relationship Id="rId5" Type="http://schemas.openxmlformats.org/officeDocument/2006/relationships/hyperlink" Target="http://www.sec.gov/cgi-bin/browse-edgar?action=getcompany&amp;CIK=00012866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780</Words>
  <Characters>4305</Characters>
  <CharactersWithSpaces>5014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