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700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Juniper Investment Company,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0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555 MADISON AVENUE</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24TH FLOOR</w:t>
            </w: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10022-3315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0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LINCOLN EDUCATIONAL SERVICES</w:t>
              </w:r>
            </w:hyperlink>
          </w:p>
        </w:tc>
        <w:tc>
          <w:tcPr>
            <w:tcW w:w="20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2980" w:type="dxa"/>
            <w:vAlign w:val="bottom"/>
            <w:tcBorders>
              <w:bottom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20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20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60" w:type="dxa"/>
            <w:vAlign w:val="bottom"/>
          </w:tcPr>
          <w:p>
            <w:pPr>
              <w:ind w:left="600"/>
              <w:spacing w:after="0"/>
              <w:rPr>
                <w:sz w:val="20"/>
                <w:szCs w:val="20"/>
                <w:color w:val="auto"/>
              </w:rPr>
            </w:pPr>
            <w:r>
              <w:rPr>
                <w:rFonts w:ascii="Arial" w:cs="Arial" w:eastAsia="Arial" w:hAnsi="Arial"/>
                <w:sz w:val="13"/>
                <w:szCs w:val="13"/>
                <w:color w:val="auto"/>
              </w:rPr>
              <w:t>below)</w:t>
            </w: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2060" w:type="dxa"/>
            <w:vAlign w:val="bottom"/>
          </w:tcPr>
          <w:p>
            <w:pPr>
              <w:ind w:left="1360"/>
              <w:spacing w:after="0" w:line="185" w:lineRule="exact"/>
              <w:rPr>
                <w:sz w:val="20"/>
                <w:szCs w:val="20"/>
                <w:color w:val="auto"/>
              </w:rPr>
            </w:pPr>
            <w:r>
              <w:rPr>
                <w:rFonts w:ascii="Times New Roman" w:cs="Times New Roman" w:eastAsia="Times New Roman" w:hAnsi="Times New Roman"/>
                <w:sz w:val="17"/>
                <w:szCs w:val="17"/>
                <w:color w:val="0000FF"/>
              </w:rPr>
              <w:t>Affiliate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700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Juniper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 per</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6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81,504</w:t>
            </w:r>
          </w:p>
        </w:tc>
        <w:tc>
          <w:tcPr>
            <w:tcW w:w="4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50.1004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1,806,986</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Targeted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Juniper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 per</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06/04/2026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6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25,208</w:t>
            </w:r>
          </w:p>
        </w:tc>
        <w:tc>
          <w:tcPr>
            <w:tcW w:w="4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51.1326</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1,781,778</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Targeted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jc w:val="center"/>
              <w:ind w:left="3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per share price with a range from $50.0400 and $50.3093. The reporting person undertakes to provide details of the trades to the Issuer or the Securities and Exchange Commission upon request.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1,781,778 shares held by Juniper Targeted Opportunity Fund, L.P. (the "Juniper Fund"), of which Juniper Investment Company, LLC ("Juniper Investment") serves as the investment advisor. John A. Bartholdson, the Chairman of the Board of the Issuer, and another individual serve as the managing members of Juniper Investment. As a result, Mr. Bartholdson shares voting and dispositive power over such shares with the Juniper Fund, Juniper Investment and the other individual. Mr. Bartholdson disclaims beneficial ownership of such shares reflected herein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per share price with a range from $50.6000 and $51.2900. The reporting person undertakes to provide details of the trades to the Issuer or the Securities and Exchange Commission upon request.</w:t>
      </w:r>
    </w:p>
    <w:p>
      <w:pPr>
        <w:sectPr>
          <w:pgSz w:w="11900" w:h="17007"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Juniper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22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Bartholdson,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0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Juniper Targeted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7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Fund, L.P.,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7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Bartholdson,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07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of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7007" w:orient="portrait"/>
          <w:cols w:equalWidth="0" w:num="2">
            <w:col w:w="8660" w:space="12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700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3" Type="http://schemas.openxmlformats.org/officeDocument/2006/relationships/hyperlink" Target="http://www.sec.gov/cgi-bin/browse-edgar?action=getcompany&amp;CIK=0001794034" TargetMode="External"/><Relationship Id="rId14"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2026-06-05T14:15:33Z</dcterms:created>
  <dcterms:modified xsi:type="dcterms:W3CDTF">2026-06-05T14:15:33Z</dcterms:modified>
</cp:coreProperties>
</file>